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711" w:rsidRDefault="00EE20DA">
      <w:pPr>
        <w:pStyle w:val="ConsPlusNormal"/>
        <w:ind w:firstLine="567"/>
        <w:jc w:val="center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Комитет организации и контроля </w:t>
      </w:r>
      <w:r>
        <w:rPr>
          <w:rFonts w:ascii="PT Astra Serif" w:eastAsia="PT Astra Serif" w:hAnsi="PT Astra Serif" w:cs="PT Astra Serif"/>
          <w:sz w:val="26"/>
          <w:szCs w:val="26"/>
        </w:rPr>
        <w:t>градостроительной деятельности</w:t>
      </w:r>
    </w:p>
    <w:p w:rsidR="00613711" w:rsidRDefault="00EE20DA">
      <w:pPr>
        <w:pStyle w:val="ConsPlusNormal"/>
        <w:ind w:firstLine="567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Департамента градостроительного развития Томской области</w:t>
      </w:r>
    </w:p>
    <w:p w:rsidR="00613711" w:rsidRDefault="00613711">
      <w:pPr>
        <w:pStyle w:val="ConsPlusNormal"/>
        <w:ind w:firstLine="567"/>
        <w:jc w:val="center"/>
        <w:rPr>
          <w:rFonts w:ascii="PT Astra Serif" w:hAnsi="PT Astra Serif"/>
          <w:sz w:val="26"/>
          <w:szCs w:val="26"/>
        </w:rPr>
      </w:pPr>
    </w:p>
    <w:p w:rsidR="00613711" w:rsidRPr="00297A82" w:rsidRDefault="00EE20DA">
      <w:pPr>
        <w:pStyle w:val="ConsPlusNormal"/>
        <w:ind w:firstLine="567"/>
        <w:jc w:val="center"/>
        <w:rPr>
          <w:rFonts w:ascii="PT Astra Serif" w:eastAsia="PT Astra Serif" w:hAnsi="PT Astra Serif" w:cs="PT Astra Serif"/>
          <w:b/>
          <w:sz w:val="26"/>
          <w:szCs w:val="26"/>
        </w:rPr>
      </w:pPr>
      <w:r w:rsidRPr="00297A82">
        <w:rPr>
          <w:rFonts w:ascii="PT Astra Serif" w:hAnsi="PT Astra Serif"/>
          <w:b/>
          <w:sz w:val="26"/>
          <w:szCs w:val="26"/>
        </w:rPr>
        <w:t>Аналитическая записка по результатам</w:t>
      </w:r>
      <w:r w:rsidRPr="00297A82">
        <w:rPr>
          <w:rFonts w:ascii="PT Astra Serif" w:eastAsia="PT Astra Serif" w:hAnsi="PT Astra Serif" w:cs="PT Astra Serif"/>
          <w:b/>
          <w:sz w:val="26"/>
          <w:szCs w:val="26"/>
        </w:rPr>
        <w:t xml:space="preserve"> осуществления мониторинга программ комплексного развития социальной инфраструктуры, выполняемого в соответствии </w:t>
      </w:r>
    </w:p>
    <w:p w:rsidR="00613711" w:rsidRPr="00297A82" w:rsidRDefault="00EE20DA">
      <w:pPr>
        <w:pStyle w:val="ConsPlusNormal"/>
        <w:ind w:firstLine="567"/>
        <w:jc w:val="center"/>
        <w:rPr>
          <w:rFonts w:ascii="PT Astra Serif" w:eastAsia="PT Astra Serif" w:hAnsi="PT Astra Serif" w:cs="PT Astra Serif"/>
          <w:b/>
          <w:sz w:val="26"/>
          <w:szCs w:val="26"/>
        </w:rPr>
      </w:pPr>
      <w:r w:rsidRPr="00297A82">
        <w:rPr>
          <w:rFonts w:ascii="PT Astra Serif" w:eastAsia="PT Astra Serif" w:hAnsi="PT Astra Serif" w:cs="PT Astra Serif"/>
          <w:b/>
          <w:sz w:val="26"/>
          <w:szCs w:val="26"/>
        </w:rPr>
        <w:t xml:space="preserve">со статьями 6.1, 8.1 Градостроительного кодекса Российской Федерации </w:t>
      </w:r>
    </w:p>
    <w:p w:rsidR="00613711" w:rsidRPr="00297A82" w:rsidRDefault="00EE20DA">
      <w:pPr>
        <w:spacing w:before="0"/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297A82">
        <w:rPr>
          <w:rFonts w:ascii="PT Astra Serif" w:hAnsi="PT Astra Serif"/>
          <w:b/>
          <w:sz w:val="26"/>
          <w:szCs w:val="26"/>
        </w:rPr>
        <w:t xml:space="preserve">(по состоянию на </w:t>
      </w:r>
      <w:r w:rsidR="001C7486" w:rsidRPr="00297A82">
        <w:rPr>
          <w:rFonts w:ascii="PT Astra Serif" w:hAnsi="PT Astra Serif"/>
          <w:b/>
          <w:sz w:val="26"/>
          <w:szCs w:val="26"/>
        </w:rPr>
        <w:t>1</w:t>
      </w:r>
      <w:r w:rsidRPr="00297A82">
        <w:rPr>
          <w:rFonts w:ascii="PT Astra Serif" w:hAnsi="PT Astra Serif"/>
          <w:b/>
          <w:sz w:val="26"/>
          <w:szCs w:val="26"/>
        </w:rPr>
        <w:t xml:space="preserve"> полугодие 202</w:t>
      </w:r>
      <w:r w:rsidR="001C7486" w:rsidRPr="00297A82">
        <w:rPr>
          <w:rFonts w:ascii="PT Astra Serif" w:hAnsi="PT Astra Serif"/>
          <w:b/>
          <w:sz w:val="26"/>
          <w:szCs w:val="26"/>
        </w:rPr>
        <w:t>6</w:t>
      </w:r>
      <w:r w:rsidR="00A53673">
        <w:rPr>
          <w:rFonts w:ascii="PT Astra Serif" w:hAnsi="PT Astra Serif"/>
          <w:b/>
          <w:sz w:val="26"/>
          <w:szCs w:val="26"/>
        </w:rPr>
        <w:t xml:space="preserve"> года</w:t>
      </w:r>
      <w:r w:rsidRPr="00297A82">
        <w:rPr>
          <w:rFonts w:ascii="PT Astra Serif" w:hAnsi="PT Astra Serif"/>
          <w:b/>
          <w:sz w:val="26"/>
          <w:szCs w:val="26"/>
        </w:rPr>
        <w:t>)</w:t>
      </w:r>
    </w:p>
    <w:p w:rsidR="00613711" w:rsidRPr="00297A82" w:rsidRDefault="00613711">
      <w:pPr>
        <w:spacing w:before="0"/>
        <w:rPr>
          <w:rFonts w:ascii="PT Astra Serif" w:hAnsi="PT Astra Serif"/>
          <w:b/>
          <w:sz w:val="26"/>
          <w:szCs w:val="26"/>
        </w:rPr>
      </w:pP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Общие сведения. </w:t>
      </w:r>
      <w:r>
        <w:rPr>
          <w:rFonts w:ascii="PT Astra Serif" w:hAnsi="PT Astra Serif"/>
          <w:sz w:val="26"/>
          <w:szCs w:val="26"/>
        </w:rPr>
        <w:t xml:space="preserve">В соответствии со статьей 26 </w:t>
      </w:r>
      <w:proofErr w:type="spellStart"/>
      <w:r>
        <w:rPr>
          <w:rFonts w:ascii="PT Astra Serif" w:hAnsi="PT Astra Serif"/>
          <w:sz w:val="26"/>
          <w:szCs w:val="26"/>
        </w:rPr>
        <w:t>ГрК</w:t>
      </w:r>
      <w:proofErr w:type="spellEnd"/>
      <w:r>
        <w:rPr>
          <w:rFonts w:ascii="PT Astra Serif" w:hAnsi="PT Astra Serif"/>
          <w:sz w:val="26"/>
          <w:szCs w:val="26"/>
        </w:rPr>
        <w:t xml:space="preserve"> РФ установлена необходимость наличия программ комплексного развития систем коммунальной инфраструктуры, программ комплексного развития транспортной инфраструктуры и программы комплексного развития социальной инфраструктуры. </w:t>
      </w:r>
      <w:r>
        <w:rPr>
          <w:rFonts w:ascii="PT Astra Serif" w:hAnsi="PT Astra Serif" w:cs="PT Astra Serif"/>
          <w:sz w:val="26"/>
          <w:szCs w:val="26"/>
        </w:rPr>
        <w:t xml:space="preserve">Программы комплексного развития </w:t>
      </w:r>
      <w:r>
        <w:rPr>
          <w:rFonts w:ascii="PT Astra Serif" w:hAnsi="PT Astra Serif"/>
          <w:sz w:val="26"/>
          <w:szCs w:val="26"/>
        </w:rPr>
        <w:t xml:space="preserve">разрабатываются органами местного самоуправления поселения, городского округа и подлежат утверждению в шестимесячный срок с даты утверждения генеральных планов. Они должны обеспечивать сбалансированное, перспективное развитие систем коммунальной инфраструктуры, транспортной и социальной инфраструктур в соответствии с потребностями в строительстве объектов. </w:t>
      </w:r>
    </w:p>
    <w:p w:rsidR="00613711" w:rsidRDefault="00EE20DA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В соответствии с пунктом 38-1 Положения о Департаменте градостроительного развития Томской области, утвержденного </w:t>
      </w:r>
      <w:r>
        <w:rPr>
          <w:rFonts w:ascii="PT Astra Serif" w:hAnsi="PT Astra Serif" w:cs="PT Astra Serif"/>
          <w:sz w:val="26"/>
          <w:szCs w:val="26"/>
        </w:rPr>
        <w:t xml:space="preserve">постановлением Губернатора Томской области от 04.02.2022 № 6,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Департамент является уполномоченным органом, </w:t>
      </w:r>
      <w:r>
        <w:rPr>
          <w:rFonts w:ascii="PT Astra Serif" w:hAnsi="PT Astra Serif" w:cs="PT Astra Serif"/>
          <w:sz w:val="26"/>
          <w:szCs w:val="26"/>
        </w:rPr>
        <w:t>осуществляющим мониторинг разработки и утверждения органами местного самоуправления муниципальных образований Томской области программ комплексного развития социальной инфраструктуры поселений, муниципальных округов, городских округов (далее –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Департамент, </w:t>
      </w:r>
      <w:r>
        <w:rPr>
          <w:rFonts w:ascii="PT Astra Serif" w:hAnsi="PT Astra Serif" w:cs="PT Astra Serif"/>
          <w:sz w:val="26"/>
          <w:szCs w:val="26"/>
        </w:rPr>
        <w:t>уполномоченный орган).</w:t>
      </w:r>
    </w:p>
    <w:p w:rsidR="00613711" w:rsidRDefault="00EE20DA">
      <w:pPr>
        <w:pStyle w:val="ConsPlusTitle"/>
        <w:ind w:firstLine="567"/>
        <w:jc w:val="both"/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eastAsia="PT Astra Serif" w:hAnsi="PT Astra Serif" w:cs="PT Astra Serif"/>
          <w:b w:val="0"/>
          <w:sz w:val="26"/>
          <w:szCs w:val="26"/>
        </w:rPr>
        <w:t xml:space="preserve">В период с </w:t>
      </w:r>
      <w:r w:rsidR="001C7486">
        <w:rPr>
          <w:rFonts w:ascii="PT Astra Serif" w:eastAsia="PT Astra Serif" w:hAnsi="PT Astra Serif" w:cs="PT Astra Serif"/>
          <w:b w:val="0"/>
          <w:sz w:val="26"/>
          <w:szCs w:val="26"/>
        </w:rPr>
        <w:t>12</w:t>
      </w:r>
      <w:r>
        <w:rPr>
          <w:rFonts w:ascii="PT Astra Serif" w:eastAsia="PT Astra Serif" w:hAnsi="PT Astra Serif" w:cs="PT Astra Serif"/>
          <w:b w:val="0"/>
          <w:sz w:val="26"/>
          <w:szCs w:val="26"/>
        </w:rPr>
        <w:t>.0</w:t>
      </w:r>
      <w:r w:rsidR="001C7486">
        <w:rPr>
          <w:rFonts w:ascii="PT Astra Serif" w:eastAsia="PT Astra Serif" w:hAnsi="PT Astra Serif" w:cs="PT Astra Serif"/>
          <w:b w:val="0"/>
          <w:sz w:val="26"/>
          <w:szCs w:val="26"/>
        </w:rPr>
        <w:t>1</w:t>
      </w:r>
      <w:r>
        <w:rPr>
          <w:rFonts w:ascii="PT Astra Serif" w:eastAsia="PT Astra Serif" w:hAnsi="PT Astra Serif" w:cs="PT Astra Serif"/>
          <w:b w:val="0"/>
          <w:sz w:val="26"/>
          <w:szCs w:val="26"/>
        </w:rPr>
        <w:t>.202</w:t>
      </w:r>
      <w:r w:rsidR="001C7486">
        <w:rPr>
          <w:rFonts w:ascii="PT Astra Serif" w:eastAsia="PT Astra Serif" w:hAnsi="PT Astra Serif" w:cs="PT Astra Serif"/>
          <w:b w:val="0"/>
          <w:sz w:val="26"/>
          <w:szCs w:val="26"/>
        </w:rPr>
        <w:t>6</w:t>
      </w:r>
      <w:r>
        <w:rPr>
          <w:rFonts w:ascii="PT Astra Serif" w:eastAsia="PT Astra Serif" w:hAnsi="PT Astra Serif" w:cs="PT Astra Serif"/>
          <w:b w:val="0"/>
          <w:sz w:val="26"/>
          <w:szCs w:val="26"/>
        </w:rPr>
        <w:t xml:space="preserve"> по </w:t>
      </w:r>
      <w:r w:rsidR="001C7486">
        <w:rPr>
          <w:rFonts w:ascii="PT Astra Serif" w:eastAsia="PT Astra Serif" w:hAnsi="PT Astra Serif" w:cs="PT Astra Serif"/>
          <w:b w:val="0"/>
          <w:sz w:val="26"/>
          <w:szCs w:val="26"/>
        </w:rPr>
        <w:t>30</w:t>
      </w:r>
      <w:r>
        <w:rPr>
          <w:rFonts w:ascii="PT Astra Serif" w:eastAsia="PT Astra Serif" w:hAnsi="PT Astra Serif" w:cs="PT Astra Serif"/>
          <w:b w:val="0"/>
          <w:sz w:val="26"/>
          <w:szCs w:val="26"/>
        </w:rPr>
        <w:t>.0</w:t>
      </w:r>
      <w:r w:rsidR="001C7486">
        <w:rPr>
          <w:rFonts w:ascii="PT Astra Serif" w:eastAsia="PT Astra Serif" w:hAnsi="PT Astra Serif" w:cs="PT Astra Serif"/>
          <w:b w:val="0"/>
          <w:sz w:val="26"/>
          <w:szCs w:val="26"/>
        </w:rPr>
        <w:t>6</w:t>
      </w:r>
      <w:r>
        <w:rPr>
          <w:rFonts w:ascii="PT Astra Serif" w:eastAsia="PT Astra Serif" w:hAnsi="PT Astra Serif" w:cs="PT Astra Serif"/>
          <w:b w:val="0"/>
          <w:sz w:val="26"/>
          <w:szCs w:val="26"/>
        </w:rPr>
        <w:t>.202</w:t>
      </w:r>
      <w:r w:rsidR="001C7486">
        <w:rPr>
          <w:rFonts w:ascii="PT Astra Serif" w:eastAsia="PT Astra Serif" w:hAnsi="PT Astra Serif" w:cs="PT Astra Serif"/>
          <w:b w:val="0"/>
          <w:sz w:val="26"/>
          <w:szCs w:val="26"/>
        </w:rPr>
        <w:t>6</w:t>
      </w:r>
      <w:r>
        <w:rPr>
          <w:rFonts w:ascii="PT Astra Serif" w:eastAsia="PT Astra Serif" w:hAnsi="PT Astra Serif" w:cs="PT Astra Serif"/>
          <w:b w:val="0"/>
          <w:sz w:val="26"/>
          <w:szCs w:val="26"/>
        </w:rPr>
        <w:t xml:space="preserve"> Департаментом проведен мониторинг </w:t>
      </w:r>
      <w:r>
        <w:rPr>
          <w:rFonts w:ascii="PT Astra Serif" w:hAnsi="PT Astra Serif" w:cs="PT Astra Serif"/>
          <w:b w:val="0"/>
          <w:sz w:val="26"/>
          <w:szCs w:val="26"/>
        </w:rPr>
        <w:t>разработки и утверждения Программ комплексного развития социальной инфраструктуры (</w:t>
      </w:r>
      <w:r>
        <w:rPr>
          <w:rFonts w:ascii="PT Astra Serif" w:hAnsi="PT Astra Serif"/>
          <w:b w:val="0"/>
          <w:sz w:val="26"/>
          <w:szCs w:val="26"/>
        </w:rPr>
        <w:t>далее – Программа</w:t>
      </w:r>
      <w:r>
        <w:rPr>
          <w:rFonts w:ascii="PT Astra Serif" w:hAnsi="PT Astra Serif" w:cs="PT Astra Serif"/>
          <w:b w:val="0"/>
          <w:sz w:val="26"/>
          <w:szCs w:val="26"/>
        </w:rPr>
        <w:t xml:space="preserve">) в соответствии с </w:t>
      </w:r>
      <w:r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приказом М</w:t>
      </w:r>
      <w:r>
        <w:rPr>
          <w:rFonts w:ascii="PT Astra Serif" w:hAnsi="PT Astra Serif" w:cs="PT Astra Serif"/>
          <w:b w:val="0"/>
          <w:sz w:val="26"/>
          <w:szCs w:val="26"/>
        </w:rPr>
        <w:t xml:space="preserve">инэкономразвития России </w:t>
      </w:r>
      <w:r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от 29.03.2016 № 181</w:t>
      </w:r>
      <w:r>
        <w:rPr>
          <w:rFonts w:ascii="PT Astra Serif" w:hAnsi="PT Astra Serif"/>
          <w:b w:val="0"/>
          <w:sz w:val="26"/>
          <w:szCs w:val="26"/>
        </w:rPr>
        <w:t xml:space="preserve"> «Об утверждении порядка осуществления мониторинга разработки и утверждения программ комплексного развития социальной инфраструктуры поселений, городских округов» (далее - </w:t>
      </w:r>
      <w:r>
        <w:rPr>
          <w:rFonts w:ascii="PT Astra Serif" w:hAnsi="PT Astra Serif" w:cs="Segoe UI"/>
          <w:b w:val="0"/>
          <w:sz w:val="26"/>
          <w:szCs w:val="26"/>
          <w:shd w:val="clear" w:color="auto" w:fill="FFFFFF"/>
        </w:rPr>
        <w:t>Приказ № 181</w:t>
      </w:r>
      <w:r>
        <w:rPr>
          <w:rFonts w:ascii="PT Astra Serif" w:hAnsi="PT Astra Serif"/>
          <w:b w:val="0"/>
          <w:sz w:val="26"/>
          <w:szCs w:val="26"/>
        </w:rPr>
        <w:t xml:space="preserve">) </w:t>
      </w:r>
      <w:r>
        <w:rPr>
          <w:rFonts w:ascii="PT Astra Serif" w:hAnsi="PT Astra Serif" w:cs="PT Astra Serif"/>
          <w:b w:val="0"/>
          <w:sz w:val="26"/>
          <w:szCs w:val="26"/>
        </w:rPr>
        <w:t>и постановлением Правительства Российской Федерации от 01.10.2015 № 1050 «О</w:t>
      </w:r>
      <w:r>
        <w:rPr>
          <w:rFonts w:ascii="PT Astra Serif" w:hAnsi="PT Astra Serif"/>
          <w:b w:val="0"/>
          <w:sz w:val="26"/>
          <w:szCs w:val="26"/>
        </w:rPr>
        <w:t>б утверждении требований к программам комплексного развития социальной инфраструктуры поселений, муниципальных округов, городских округов</w:t>
      </w:r>
      <w:r>
        <w:rPr>
          <w:rFonts w:ascii="PT Astra Serif" w:hAnsi="PT Astra Serif" w:cs="PT Astra Serif"/>
          <w:b w:val="0"/>
          <w:sz w:val="26"/>
          <w:szCs w:val="26"/>
        </w:rPr>
        <w:t>» (</w:t>
      </w:r>
      <w:r>
        <w:rPr>
          <w:rFonts w:ascii="PT Astra Serif" w:hAnsi="PT Astra Serif"/>
          <w:b w:val="0"/>
          <w:sz w:val="26"/>
          <w:szCs w:val="26"/>
        </w:rPr>
        <w:t>далее –</w:t>
      </w:r>
      <w:r>
        <w:rPr>
          <w:rFonts w:ascii="PT Astra Serif" w:hAnsi="PT Astra Serif" w:cs="PT Astra Serif"/>
          <w:b w:val="0"/>
          <w:sz w:val="26"/>
          <w:szCs w:val="26"/>
        </w:rPr>
        <w:t xml:space="preserve"> Постановление № 1050).</w:t>
      </w:r>
    </w:p>
    <w:p w:rsidR="00613711" w:rsidRDefault="00EE20DA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Мониторинг осуществлялся в отношении </w:t>
      </w:r>
      <w:r>
        <w:rPr>
          <w:rFonts w:ascii="PT Astra Serif" w:hAnsi="PT Astra Serif"/>
          <w:sz w:val="26"/>
          <w:szCs w:val="26"/>
        </w:rPr>
        <w:t xml:space="preserve">119 муниципальных образований Томской области (3 городских округов, 1 муниципального округа, 3 городских поселений, 112 сельских поселений) 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путем проведения анализа текста </w:t>
      </w:r>
      <w:r>
        <w:rPr>
          <w:rFonts w:ascii="PT Astra Serif" w:hAnsi="PT Astra Serif" w:cs="PT Astra Serif"/>
          <w:sz w:val="26"/>
          <w:szCs w:val="26"/>
        </w:rPr>
        <w:t>Программ</w:t>
      </w:r>
      <w:r>
        <w:rPr>
          <w:rFonts w:ascii="PT Astra Serif" w:eastAsia="PT Astra Serif" w:hAnsi="PT Astra Serif" w:cs="PT Astra Serif"/>
          <w:sz w:val="26"/>
          <w:szCs w:val="26"/>
        </w:rPr>
        <w:t>, размещенных в Федеральной государственной информационной системе территориального планирования (ФГИС ТП) и на официальных сайтах органов местного самоуправления</w:t>
      </w:r>
      <w:r w:rsidR="001C7486"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1C7486" w:rsidRDefault="00EE20DA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Информация по состоянию </w:t>
      </w:r>
      <w:r w:rsidR="001C7486">
        <w:rPr>
          <w:rFonts w:ascii="PT Astra Serif" w:hAnsi="PT Astra Serif"/>
          <w:b/>
          <w:sz w:val="26"/>
          <w:szCs w:val="26"/>
        </w:rPr>
        <w:t xml:space="preserve">на </w:t>
      </w:r>
      <w:r w:rsidR="00520682">
        <w:rPr>
          <w:rFonts w:ascii="PT Astra Serif" w:hAnsi="PT Astra Serif"/>
          <w:b/>
          <w:sz w:val="26"/>
          <w:szCs w:val="26"/>
        </w:rPr>
        <w:t>2</w:t>
      </w:r>
      <w:r>
        <w:rPr>
          <w:rFonts w:ascii="PT Astra Serif" w:hAnsi="PT Astra Serif"/>
          <w:b/>
          <w:sz w:val="26"/>
          <w:szCs w:val="26"/>
        </w:rPr>
        <w:t xml:space="preserve"> полугодие 202</w:t>
      </w:r>
      <w:r w:rsidR="00520682">
        <w:rPr>
          <w:rFonts w:ascii="PT Astra Serif" w:hAnsi="PT Astra Serif"/>
          <w:b/>
          <w:sz w:val="26"/>
          <w:szCs w:val="26"/>
        </w:rPr>
        <w:t>5</w:t>
      </w:r>
      <w:r>
        <w:rPr>
          <w:rFonts w:ascii="PT Astra Serif" w:hAnsi="PT Astra Serif"/>
          <w:b/>
          <w:sz w:val="26"/>
          <w:szCs w:val="26"/>
        </w:rPr>
        <w:t xml:space="preserve"> года.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начало мониторинга (</w:t>
      </w:r>
      <w:r w:rsidR="008C4C36">
        <w:rPr>
          <w:rFonts w:ascii="PT Astra Serif" w:hAnsi="PT Astra Serif"/>
          <w:sz w:val="26"/>
          <w:szCs w:val="26"/>
        </w:rPr>
        <w:t>по результатам мониторинга</w:t>
      </w:r>
      <w:r>
        <w:rPr>
          <w:rFonts w:ascii="PT Astra Serif" w:hAnsi="PT Astra Serif"/>
          <w:sz w:val="26"/>
          <w:szCs w:val="26"/>
        </w:rPr>
        <w:t xml:space="preserve"> 2 полугоди</w:t>
      </w:r>
      <w:r w:rsidR="008C4C36">
        <w:rPr>
          <w:rFonts w:ascii="PT Astra Serif" w:hAnsi="PT Astra Serif"/>
          <w:sz w:val="26"/>
          <w:szCs w:val="26"/>
        </w:rPr>
        <w:t>я</w:t>
      </w:r>
      <w:r>
        <w:rPr>
          <w:rFonts w:ascii="PT Astra Serif" w:hAnsi="PT Astra Serif"/>
          <w:sz w:val="26"/>
          <w:szCs w:val="26"/>
        </w:rPr>
        <w:t xml:space="preserve"> 2025 г.</w:t>
      </w:r>
      <w:r w:rsidR="009A5197">
        <w:rPr>
          <w:rFonts w:ascii="PT Astra Serif" w:hAnsi="PT Astra Serif"/>
          <w:sz w:val="26"/>
          <w:szCs w:val="26"/>
        </w:rPr>
        <w:t>)</w:t>
      </w:r>
      <w:r>
        <w:rPr>
          <w:rFonts w:ascii="PT Astra Serif" w:hAnsi="PT Astra Serif"/>
          <w:sz w:val="26"/>
          <w:szCs w:val="26"/>
        </w:rPr>
        <w:t xml:space="preserve"> </w:t>
      </w:r>
      <w:r w:rsidR="00520682">
        <w:rPr>
          <w:rFonts w:ascii="PT Astra Serif" w:hAnsi="PT Astra Serif"/>
          <w:sz w:val="26"/>
          <w:szCs w:val="26"/>
        </w:rPr>
        <w:t>в</w:t>
      </w:r>
      <w:r>
        <w:rPr>
          <w:rFonts w:ascii="PT Astra Serif" w:hAnsi="PT Astra Serif"/>
          <w:sz w:val="26"/>
          <w:szCs w:val="26"/>
        </w:rPr>
        <w:t xml:space="preserve"> 119 муниципальных </w:t>
      </w:r>
      <w:r w:rsidR="009A5197">
        <w:rPr>
          <w:rFonts w:ascii="PT Astra Serif" w:hAnsi="PT Astra Serif"/>
          <w:sz w:val="26"/>
          <w:szCs w:val="26"/>
        </w:rPr>
        <w:t>образовани</w:t>
      </w:r>
      <w:r w:rsidR="00520682">
        <w:rPr>
          <w:rFonts w:ascii="PT Astra Serif" w:hAnsi="PT Astra Serif"/>
          <w:sz w:val="26"/>
          <w:szCs w:val="26"/>
        </w:rPr>
        <w:t>ях</w:t>
      </w:r>
      <w:r w:rsidR="009A5197">
        <w:rPr>
          <w:rFonts w:ascii="PT Astra Serif" w:hAnsi="PT Astra Serif"/>
          <w:sz w:val="26"/>
          <w:szCs w:val="26"/>
        </w:rPr>
        <w:t xml:space="preserve"> (</w:t>
      </w:r>
      <w:r>
        <w:rPr>
          <w:rFonts w:ascii="PT Astra Serif" w:hAnsi="PT Astra Serif"/>
          <w:sz w:val="26"/>
          <w:szCs w:val="26"/>
        </w:rPr>
        <w:t xml:space="preserve">далее – МО) </w:t>
      </w:r>
      <w:r w:rsidR="00520682">
        <w:rPr>
          <w:rFonts w:ascii="PT Astra Serif" w:hAnsi="PT Astra Serif"/>
          <w:sz w:val="26"/>
          <w:szCs w:val="26"/>
        </w:rPr>
        <w:t xml:space="preserve">были </w:t>
      </w:r>
      <w:r>
        <w:rPr>
          <w:rFonts w:ascii="PT Astra Serif" w:hAnsi="PT Astra Serif"/>
          <w:sz w:val="26"/>
          <w:szCs w:val="26"/>
        </w:rPr>
        <w:t>достигнуты следующие показатели Программы: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 разработаны и утверждены в 98 МО (82,4%), из них соответствуют требованиям Постановления №1050 в 86 МО (72,3 %);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размещены во ФГИС ТП в 87 МО (73 %);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размещены на официальных сайтах в 98 МО (82,4%).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Программы остались не разработаны в 21 МО (17,6%): 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Томский район: Заречное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Зоркальцевское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Межениновское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Мирненское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Моряковское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Спасское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Турунтаевское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proofErr w:type="spellStart"/>
      <w:r>
        <w:rPr>
          <w:rFonts w:ascii="PT Astra Serif" w:hAnsi="PT Astra Serif"/>
          <w:sz w:val="26"/>
          <w:szCs w:val="26"/>
        </w:rPr>
        <w:t>Шегарский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Анастасьевское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Северное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Трубачевское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Шегарское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4. </w:t>
      </w:r>
      <w:proofErr w:type="spellStart"/>
      <w:r>
        <w:rPr>
          <w:rFonts w:ascii="PT Astra Serif" w:hAnsi="PT Astra Serif"/>
          <w:sz w:val="26"/>
          <w:szCs w:val="26"/>
        </w:rPr>
        <w:t>Бакчарский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Бакчарское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Высокоярское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 Зырянский район: </w:t>
      </w:r>
      <w:proofErr w:type="spellStart"/>
      <w:r>
        <w:rPr>
          <w:rFonts w:ascii="PT Astra Serif" w:hAnsi="PT Astra Serif"/>
          <w:sz w:val="26"/>
          <w:szCs w:val="26"/>
        </w:rPr>
        <w:t>Дубровское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Михайловское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1C7486" w:rsidRDefault="001C7486" w:rsidP="001C748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 </w:t>
      </w:r>
      <w:proofErr w:type="spellStart"/>
      <w:r>
        <w:rPr>
          <w:rFonts w:ascii="PT Astra Serif" w:hAnsi="PT Astra Serif"/>
          <w:sz w:val="26"/>
          <w:szCs w:val="26"/>
        </w:rPr>
        <w:t>Кожевниковский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Кожевниковское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Уртамское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9A5197" w:rsidRPr="00297A82" w:rsidRDefault="001C7486" w:rsidP="00297A8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7. Первомайский район: Улу-</w:t>
      </w:r>
      <w:proofErr w:type="spellStart"/>
      <w:r>
        <w:rPr>
          <w:rFonts w:ascii="PT Astra Serif" w:hAnsi="PT Astra Serif"/>
          <w:sz w:val="26"/>
          <w:szCs w:val="26"/>
        </w:rPr>
        <w:t>Юльское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Новомариинское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520682" w:rsidRPr="00297A82" w:rsidRDefault="00EE20DA" w:rsidP="00297A8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рамках мониторинга про</w:t>
      </w:r>
      <w:r w:rsidR="009A5197">
        <w:rPr>
          <w:rFonts w:ascii="PT Astra Serif" w:hAnsi="PT Astra Serif"/>
          <w:sz w:val="26"/>
          <w:szCs w:val="26"/>
        </w:rPr>
        <w:t>должена</w:t>
      </w:r>
      <w:r>
        <w:rPr>
          <w:rFonts w:ascii="PT Astra Serif" w:hAnsi="PT Astra Serif"/>
          <w:sz w:val="26"/>
          <w:szCs w:val="26"/>
        </w:rPr>
        <w:t xml:space="preserve"> работа </w:t>
      </w:r>
      <w:r w:rsidR="009A5197">
        <w:rPr>
          <w:rFonts w:ascii="PT Astra Serif" w:hAnsi="PT Astra Serif"/>
          <w:sz w:val="26"/>
          <w:szCs w:val="26"/>
        </w:rPr>
        <w:t>в 21</w:t>
      </w:r>
      <w:r>
        <w:rPr>
          <w:rFonts w:ascii="PT Astra Serif" w:hAnsi="PT Astra Serif"/>
          <w:sz w:val="26"/>
          <w:szCs w:val="26"/>
        </w:rPr>
        <w:t xml:space="preserve"> МО на предмет устранения </w:t>
      </w:r>
      <w:r w:rsidR="009A5197">
        <w:rPr>
          <w:rFonts w:ascii="PT Astra Serif" w:hAnsi="PT Astra Serif"/>
          <w:sz w:val="26"/>
          <w:szCs w:val="26"/>
        </w:rPr>
        <w:t xml:space="preserve">ранее </w:t>
      </w:r>
      <w:r>
        <w:rPr>
          <w:rFonts w:ascii="PT Astra Serif" w:hAnsi="PT Astra Serif"/>
          <w:sz w:val="26"/>
          <w:szCs w:val="26"/>
        </w:rPr>
        <w:t xml:space="preserve">выявленных замечаний, а также разработки Программ в тех МО, где указанные документы отсутствовали.  Также проведены консультации для МО и проверка подготавливаемой документации с целью недопущения нарушений и несоответствий в новых Программах. </w:t>
      </w:r>
    </w:p>
    <w:p w:rsidR="00520682" w:rsidRPr="00520682" w:rsidRDefault="00520682" w:rsidP="0052068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Информация по состоянию на 1 полугодие 2026 года.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613711" w:rsidRDefault="00EE20DA">
      <w:pPr>
        <w:pStyle w:val="ConsPlusNormal"/>
        <w:ind w:firstLine="567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u w:val="single"/>
        </w:rPr>
        <w:t xml:space="preserve">В результате мониторинга по состоянию на </w:t>
      </w:r>
      <w:r w:rsidR="009A5197">
        <w:rPr>
          <w:rFonts w:ascii="PT Astra Serif" w:hAnsi="PT Astra Serif"/>
          <w:sz w:val="26"/>
          <w:szCs w:val="26"/>
          <w:u w:val="single"/>
        </w:rPr>
        <w:t>1</w:t>
      </w:r>
      <w:r>
        <w:rPr>
          <w:rFonts w:ascii="PT Astra Serif" w:hAnsi="PT Astra Serif"/>
          <w:sz w:val="26"/>
          <w:szCs w:val="26"/>
          <w:u w:val="single"/>
        </w:rPr>
        <w:t xml:space="preserve"> полугодие 202</w:t>
      </w:r>
      <w:r w:rsidR="009A5197">
        <w:rPr>
          <w:rFonts w:ascii="PT Astra Serif" w:hAnsi="PT Astra Serif"/>
          <w:sz w:val="26"/>
          <w:szCs w:val="26"/>
          <w:u w:val="single"/>
        </w:rPr>
        <w:t>6</w:t>
      </w:r>
      <w:r>
        <w:rPr>
          <w:rFonts w:ascii="PT Astra Serif" w:hAnsi="PT Astra Serif"/>
          <w:sz w:val="26"/>
          <w:szCs w:val="26"/>
          <w:u w:val="single"/>
        </w:rPr>
        <w:t xml:space="preserve"> г</w:t>
      </w:r>
      <w:r>
        <w:rPr>
          <w:rFonts w:ascii="PT Astra Serif" w:hAnsi="PT Astra Serif"/>
          <w:sz w:val="26"/>
          <w:szCs w:val="26"/>
        </w:rPr>
        <w:t xml:space="preserve">. </w:t>
      </w:r>
      <w:r w:rsidR="00520682">
        <w:rPr>
          <w:rFonts w:ascii="PT Astra Serif" w:eastAsia="PT Astra Serif" w:hAnsi="PT Astra Serif" w:cs="PT Astra Serif"/>
          <w:sz w:val="26"/>
          <w:szCs w:val="26"/>
        </w:rPr>
        <w:t>в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119 МО достигнуты следующие показатели Программы: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 разработаны и утверждены в </w:t>
      </w:r>
      <w:r w:rsidR="00CA2856">
        <w:rPr>
          <w:rFonts w:ascii="PT Astra Serif" w:hAnsi="PT Astra Serif"/>
          <w:sz w:val="26"/>
          <w:szCs w:val="26"/>
        </w:rPr>
        <w:t>10</w:t>
      </w:r>
      <w:r w:rsidR="003F35AA"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 МО (8</w:t>
      </w:r>
      <w:r w:rsidR="003F35AA">
        <w:rPr>
          <w:rFonts w:ascii="PT Astra Serif" w:hAnsi="PT Astra Serif"/>
          <w:sz w:val="26"/>
          <w:szCs w:val="26"/>
        </w:rPr>
        <w:t>8</w:t>
      </w:r>
      <w:r>
        <w:rPr>
          <w:rFonts w:ascii="PT Astra Serif" w:hAnsi="PT Astra Serif"/>
          <w:sz w:val="26"/>
          <w:szCs w:val="26"/>
        </w:rPr>
        <w:t>,</w:t>
      </w:r>
      <w:r w:rsidR="003F35AA"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 xml:space="preserve">%), из них соответствуют требованиям Постановления №1050 в </w:t>
      </w:r>
      <w:r w:rsidR="00CA2856">
        <w:rPr>
          <w:rFonts w:ascii="PT Astra Serif" w:hAnsi="PT Astra Serif"/>
          <w:sz w:val="26"/>
          <w:szCs w:val="26"/>
        </w:rPr>
        <w:t>10</w:t>
      </w:r>
      <w:r w:rsidR="003F35AA"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 xml:space="preserve"> МО (</w:t>
      </w:r>
      <w:r w:rsidR="003F35AA">
        <w:rPr>
          <w:rFonts w:ascii="PT Astra Serif" w:hAnsi="PT Astra Serif"/>
          <w:sz w:val="26"/>
          <w:szCs w:val="26"/>
        </w:rPr>
        <w:t>85</w:t>
      </w:r>
      <w:r>
        <w:rPr>
          <w:rFonts w:ascii="PT Astra Serif" w:hAnsi="PT Astra Serif"/>
          <w:sz w:val="26"/>
          <w:szCs w:val="26"/>
        </w:rPr>
        <w:t>,</w:t>
      </w:r>
      <w:r w:rsidR="003F35AA"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 xml:space="preserve"> %);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размещены во ФГИС ТП в </w:t>
      </w:r>
      <w:r w:rsidR="003B4E66">
        <w:rPr>
          <w:rFonts w:ascii="PT Astra Serif" w:hAnsi="PT Astra Serif"/>
          <w:sz w:val="26"/>
          <w:szCs w:val="26"/>
        </w:rPr>
        <w:t>99</w:t>
      </w:r>
      <w:r>
        <w:rPr>
          <w:rFonts w:ascii="PT Astra Serif" w:hAnsi="PT Astra Serif"/>
          <w:sz w:val="26"/>
          <w:szCs w:val="26"/>
        </w:rPr>
        <w:t xml:space="preserve"> МО (</w:t>
      </w:r>
      <w:r w:rsidR="00CA2856">
        <w:rPr>
          <w:rFonts w:ascii="PT Astra Serif" w:hAnsi="PT Astra Serif"/>
          <w:sz w:val="26"/>
          <w:szCs w:val="26"/>
        </w:rPr>
        <w:t>8</w:t>
      </w:r>
      <w:r w:rsidR="003B4E66">
        <w:rPr>
          <w:rFonts w:ascii="PT Astra Serif" w:hAnsi="PT Astra Serif"/>
          <w:sz w:val="26"/>
          <w:szCs w:val="26"/>
        </w:rPr>
        <w:t>3,2</w:t>
      </w:r>
      <w:r>
        <w:rPr>
          <w:rFonts w:ascii="PT Astra Serif" w:hAnsi="PT Astra Serif"/>
          <w:sz w:val="26"/>
          <w:szCs w:val="26"/>
        </w:rPr>
        <w:t>%);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размещены на официальных сайтах в </w:t>
      </w:r>
      <w:r w:rsidR="003F35AA">
        <w:rPr>
          <w:rFonts w:ascii="PT Astra Serif" w:hAnsi="PT Astra Serif"/>
          <w:sz w:val="26"/>
          <w:szCs w:val="26"/>
        </w:rPr>
        <w:t>104</w:t>
      </w:r>
      <w:r>
        <w:rPr>
          <w:rFonts w:ascii="PT Astra Serif" w:hAnsi="PT Astra Serif"/>
          <w:sz w:val="26"/>
          <w:szCs w:val="26"/>
        </w:rPr>
        <w:t xml:space="preserve"> МО (8</w:t>
      </w:r>
      <w:r w:rsidR="003F35AA">
        <w:rPr>
          <w:rFonts w:ascii="PT Astra Serif" w:hAnsi="PT Astra Serif"/>
          <w:sz w:val="26"/>
          <w:szCs w:val="26"/>
        </w:rPr>
        <w:t>7</w:t>
      </w:r>
      <w:r>
        <w:rPr>
          <w:rFonts w:ascii="PT Astra Serif" w:hAnsi="PT Astra Serif"/>
          <w:sz w:val="26"/>
          <w:szCs w:val="26"/>
        </w:rPr>
        <w:t>,</w:t>
      </w:r>
      <w:r w:rsidR="003F35AA"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>%).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Программы остались не разработаны в </w:t>
      </w:r>
      <w:r w:rsidR="00B13D22" w:rsidRPr="00B13D22">
        <w:rPr>
          <w:rFonts w:ascii="PT Astra Serif" w:hAnsi="PT Astra Serif"/>
          <w:sz w:val="26"/>
          <w:szCs w:val="26"/>
        </w:rPr>
        <w:t>1</w:t>
      </w:r>
      <w:r w:rsidR="003F35AA">
        <w:rPr>
          <w:rFonts w:ascii="PT Astra Serif" w:hAnsi="PT Astra Serif"/>
          <w:sz w:val="26"/>
          <w:szCs w:val="26"/>
        </w:rPr>
        <w:t>4</w:t>
      </w:r>
      <w:r>
        <w:rPr>
          <w:rFonts w:ascii="PT Astra Serif" w:hAnsi="PT Astra Serif"/>
          <w:sz w:val="26"/>
          <w:szCs w:val="26"/>
        </w:rPr>
        <w:t xml:space="preserve"> МО (</w:t>
      </w:r>
      <w:r w:rsidR="00B13D22" w:rsidRPr="00B13D22">
        <w:rPr>
          <w:rFonts w:ascii="PT Astra Serif" w:hAnsi="PT Astra Serif"/>
          <w:sz w:val="26"/>
          <w:szCs w:val="26"/>
        </w:rPr>
        <w:t>1</w:t>
      </w:r>
      <w:r w:rsidR="003F35AA">
        <w:rPr>
          <w:rFonts w:ascii="PT Astra Serif" w:hAnsi="PT Astra Serif"/>
          <w:sz w:val="26"/>
          <w:szCs w:val="26"/>
        </w:rPr>
        <w:t>1</w:t>
      </w:r>
      <w:r w:rsidR="00B13D22">
        <w:rPr>
          <w:rFonts w:ascii="PT Astra Serif" w:hAnsi="PT Astra Serif"/>
          <w:sz w:val="26"/>
          <w:szCs w:val="26"/>
        </w:rPr>
        <w:t>,</w:t>
      </w:r>
      <w:r w:rsidR="003F35AA">
        <w:rPr>
          <w:rFonts w:ascii="PT Astra Serif" w:hAnsi="PT Astra Serif"/>
          <w:sz w:val="26"/>
          <w:szCs w:val="26"/>
        </w:rPr>
        <w:t>8</w:t>
      </w:r>
      <w:r>
        <w:rPr>
          <w:rFonts w:ascii="PT Astra Serif" w:hAnsi="PT Astra Serif"/>
          <w:sz w:val="26"/>
          <w:szCs w:val="26"/>
        </w:rPr>
        <w:t xml:space="preserve">%): 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Томский район: Заречное </w:t>
      </w:r>
      <w:proofErr w:type="spellStart"/>
      <w:r w:rsidR="00B13D22"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Межениновское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Мирненское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Моряковское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Турунтаевское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  <w:r w:rsidR="00B13D22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B13D22">
        <w:rPr>
          <w:rFonts w:ascii="PT Astra Serif" w:hAnsi="PT Astra Serif"/>
          <w:sz w:val="26"/>
          <w:szCs w:val="26"/>
        </w:rPr>
        <w:t>Рыбаловское</w:t>
      </w:r>
      <w:proofErr w:type="spellEnd"/>
      <w:r w:rsidR="00B13D22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B13D22">
        <w:rPr>
          <w:rFonts w:ascii="PT Astra Serif" w:hAnsi="PT Astra Serif"/>
          <w:sz w:val="26"/>
          <w:szCs w:val="26"/>
        </w:rPr>
        <w:t>сп</w:t>
      </w:r>
      <w:proofErr w:type="spellEnd"/>
      <w:r w:rsidR="00B13D22"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proofErr w:type="spellStart"/>
      <w:r>
        <w:rPr>
          <w:rFonts w:ascii="PT Astra Serif" w:hAnsi="PT Astra Serif"/>
          <w:sz w:val="26"/>
          <w:szCs w:val="26"/>
        </w:rPr>
        <w:t>Шегарский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Анастасьевское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 w:rsidR="003F35AA">
        <w:rPr>
          <w:rFonts w:ascii="PT Astra Serif" w:hAnsi="PT Astra Serif"/>
          <w:sz w:val="26"/>
          <w:szCs w:val="26"/>
        </w:rPr>
        <w:t>;</w:t>
      </w:r>
    </w:p>
    <w:p w:rsidR="00613711" w:rsidRDefault="00DE2BB3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 w:rsidR="00EE20DA">
        <w:rPr>
          <w:rFonts w:ascii="PT Astra Serif" w:hAnsi="PT Astra Serif"/>
          <w:sz w:val="26"/>
          <w:szCs w:val="26"/>
        </w:rPr>
        <w:t xml:space="preserve">. Зырянский район: Михайловское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>;</w:t>
      </w:r>
    </w:p>
    <w:p w:rsidR="00613711" w:rsidRDefault="00DE2BB3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EE20DA">
        <w:rPr>
          <w:rFonts w:ascii="PT Astra Serif" w:hAnsi="PT Astra Serif"/>
          <w:sz w:val="26"/>
          <w:szCs w:val="26"/>
        </w:rPr>
        <w:t xml:space="preserve">. </w:t>
      </w:r>
      <w:proofErr w:type="spellStart"/>
      <w:r w:rsidR="00EE20DA">
        <w:rPr>
          <w:rFonts w:ascii="PT Astra Serif" w:hAnsi="PT Astra Serif"/>
          <w:sz w:val="26"/>
          <w:szCs w:val="26"/>
        </w:rPr>
        <w:t>Кожевниковский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="00EE20DA">
        <w:rPr>
          <w:rFonts w:ascii="PT Astra Serif" w:hAnsi="PT Astra Serif"/>
          <w:sz w:val="26"/>
          <w:szCs w:val="26"/>
        </w:rPr>
        <w:t>Кожевниковское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EE20DA">
        <w:rPr>
          <w:rFonts w:ascii="PT Astra Serif" w:hAnsi="PT Astra Serif"/>
          <w:sz w:val="26"/>
          <w:szCs w:val="26"/>
        </w:rPr>
        <w:t>Уртамское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>;</w:t>
      </w:r>
    </w:p>
    <w:p w:rsidR="00613711" w:rsidRDefault="00DE2BB3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EE20DA">
        <w:rPr>
          <w:rFonts w:ascii="PT Astra Serif" w:hAnsi="PT Astra Serif"/>
          <w:sz w:val="26"/>
          <w:szCs w:val="26"/>
        </w:rPr>
        <w:t>. Первомайский район: Улу-</w:t>
      </w:r>
      <w:proofErr w:type="spellStart"/>
      <w:r w:rsidR="00EE20DA">
        <w:rPr>
          <w:rFonts w:ascii="PT Astra Serif" w:hAnsi="PT Astra Serif"/>
          <w:sz w:val="26"/>
          <w:szCs w:val="26"/>
        </w:rPr>
        <w:t>Юльское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EE20DA">
        <w:rPr>
          <w:rFonts w:ascii="PT Astra Serif" w:hAnsi="PT Astra Serif"/>
          <w:sz w:val="26"/>
          <w:szCs w:val="26"/>
        </w:rPr>
        <w:t>Новомариинское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Среди основных причин неисполнения положений законодательства по разработке и утверждению Программ следует выделить: 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отсутствие в МО квалифицированных кадров для самостоятельной разработки Программ;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 отсутствие бюджетных средств для заключения муниципальных контрактов на выполнение требуемых работ.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Работа по подготовке и утверждению Программ комплексного развития социальной инфраструктуры в вышеуказанных МО будет продолжена. 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Также продолжается актуализация документов в тех МО, в которых Программы не соответствуют установленным требованиям. </w:t>
      </w:r>
    </w:p>
    <w:p w:rsidR="00297A82" w:rsidRDefault="00297A8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297A82" w:rsidRDefault="00297A8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Сводные данные по показателям разработки, утверждению и соответствия Программ требованиям Постановления №1050 по результатам мониторинга за период со 2 полугодия 2024 года по 1 полугодие 2026 года отражены в диаграмме:</w:t>
      </w:r>
    </w:p>
    <w:p w:rsidR="00613711" w:rsidRDefault="00297A82" w:rsidP="00520682">
      <w:pPr>
        <w:pStyle w:val="ConsPlusNormal"/>
        <w:ind w:firstLine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874D3EF" wp14:editId="34F380A5">
            <wp:simplePos x="0" y="0"/>
            <wp:positionH relativeFrom="column">
              <wp:posOffset>-134620</wp:posOffset>
            </wp:positionH>
            <wp:positionV relativeFrom="paragraph">
              <wp:posOffset>210820</wp:posOffset>
            </wp:positionV>
            <wp:extent cx="6619875" cy="3952875"/>
            <wp:effectExtent l="0" t="0" r="9525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Программы </w:t>
      </w:r>
      <w:r>
        <w:rPr>
          <w:rFonts w:ascii="PT Astra Serif" w:hAnsi="PT Astra Serif"/>
          <w:sz w:val="26"/>
          <w:szCs w:val="26"/>
          <w:u w:val="single"/>
        </w:rPr>
        <w:t>не опубликованы на официальных сайтах</w:t>
      </w:r>
      <w:r>
        <w:rPr>
          <w:rFonts w:ascii="PT Astra Serif" w:hAnsi="PT Astra Serif"/>
          <w:sz w:val="26"/>
          <w:szCs w:val="26"/>
        </w:rPr>
        <w:t xml:space="preserve"> в </w:t>
      </w:r>
      <w:r w:rsidR="00FB1962">
        <w:rPr>
          <w:rFonts w:ascii="PT Astra Serif" w:hAnsi="PT Astra Serif"/>
          <w:sz w:val="26"/>
          <w:szCs w:val="26"/>
        </w:rPr>
        <w:t>15</w:t>
      </w:r>
      <w:r>
        <w:rPr>
          <w:rFonts w:ascii="PT Astra Serif" w:hAnsi="PT Astra Serif"/>
          <w:sz w:val="26"/>
          <w:szCs w:val="26"/>
        </w:rPr>
        <w:t xml:space="preserve"> МО: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Томский район: Заречное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Межениновское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Мирненское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, Моряков</w:t>
      </w:r>
      <w:r w:rsidR="00FB1962">
        <w:rPr>
          <w:rFonts w:ascii="PT Astra Serif" w:hAnsi="PT Astra Serif"/>
          <w:sz w:val="26"/>
          <w:szCs w:val="26"/>
        </w:rPr>
        <w:t xml:space="preserve">ское </w:t>
      </w:r>
      <w:proofErr w:type="spellStart"/>
      <w:r w:rsidR="00FB1962">
        <w:rPr>
          <w:rFonts w:ascii="PT Astra Serif" w:hAnsi="PT Astra Serif"/>
          <w:sz w:val="26"/>
          <w:szCs w:val="26"/>
        </w:rPr>
        <w:t>сп</w:t>
      </w:r>
      <w:proofErr w:type="spellEnd"/>
      <w:r w:rsidR="00FB1962"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 w:rsidR="00FB1962"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Турунтаевское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 w:rsidR="00FB1962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FB1962">
        <w:rPr>
          <w:rFonts w:ascii="PT Astra Serif" w:hAnsi="PT Astra Serif"/>
          <w:sz w:val="26"/>
          <w:szCs w:val="26"/>
        </w:rPr>
        <w:t>Рыбаловское</w:t>
      </w:r>
      <w:proofErr w:type="spellEnd"/>
      <w:r w:rsidR="00FB1962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FB1962">
        <w:rPr>
          <w:rFonts w:ascii="PT Astra Serif" w:hAnsi="PT Astra Serif"/>
          <w:sz w:val="26"/>
          <w:szCs w:val="26"/>
        </w:rPr>
        <w:t>сп</w:t>
      </w:r>
      <w:proofErr w:type="spellEnd"/>
      <w:r w:rsidR="00FB1962">
        <w:rPr>
          <w:rFonts w:ascii="PT Astra Serif" w:hAnsi="PT Astra Serif"/>
          <w:sz w:val="26"/>
          <w:szCs w:val="26"/>
        </w:rPr>
        <w:t>;</w:t>
      </w:r>
    </w:p>
    <w:p w:rsidR="00613711" w:rsidRDefault="00EE20DA" w:rsidP="00FB196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proofErr w:type="spellStart"/>
      <w:r>
        <w:rPr>
          <w:rFonts w:ascii="PT Astra Serif" w:hAnsi="PT Astra Serif"/>
          <w:sz w:val="26"/>
          <w:szCs w:val="26"/>
        </w:rPr>
        <w:t>Шега</w:t>
      </w:r>
      <w:r w:rsidR="00FB1962">
        <w:rPr>
          <w:rFonts w:ascii="PT Astra Serif" w:hAnsi="PT Astra Serif"/>
          <w:sz w:val="26"/>
          <w:szCs w:val="26"/>
        </w:rPr>
        <w:t>рский</w:t>
      </w:r>
      <w:proofErr w:type="spellEnd"/>
      <w:r w:rsidR="00FB1962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="00FB1962">
        <w:rPr>
          <w:rFonts w:ascii="PT Astra Serif" w:hAnsi="PT Astra Serif"/>
          <w:sz w:val="26"/>
          <w:szCs w:val="26"/>
        </w:rPr>
        <w:t>Анастасьевское</w:t>
      </w:r>
      <w:proofErr w:type="spellEnd"/>
      <w:r w:rsidR="00FB1962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FB1962">
        <w:rPr>
          <w:rFonts w:ascii="PT Astra Serif" w:hAnsi="PT Astra Serif"/>
          <w:sz w:val="26"/>
          <w:szCs w:val="26"/>
        </w:rPr>
        <w:t>сп</w:t>
      </w:r>
      <w:proofErr w:type="spellEnd"/>
      <w:r w:rsidR="00FB1962">
        <w:rPr>
          <w:rFonts w:ascii="PT Astra Serif" w:hAnsi="PT Astra Serif"/>
          <w:sz w:val="26"/>
          <w:szCs w:val="26"/>
        </w:rPr>
        <w:t>;</w:t>
      </w:r>
    </w:p>
    <w:p w:rsidR="00613711" w:rsidRDefault="00FB196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 w:rsidR="00EE20DA">
        <w:rPr>
          <w:rFonts w:ascii="PT Astra Serif" w:hAnsi="PT Astra Serif"/>
          <w:sz w:val="26"/>
          <w:szCs w:val="26"/>
        </w:rPr>
        <w:t xml:space="preserve">. Зырянский район: </w:t>
      </w:r>
      <w:proofErr w:type="spellStart"/>
      <w:r w:rsidR="00EE20DA">
        <w:rPr>
          <w:rFonts w:ascii="PT Astra Serif" w:hAnsi="PT Astra Serif"/>
          <w:sz w:val="26"/>
          <w:szCs w:val="26"/>
        </w:rPr>
        <w:t>Дубровское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, Михайловское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>;</w:t>
      </w:r>
    </w:p>
    <w:p w:rsidR="00613711" w:rsidRDefault="00FB196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EE20DA">
        <w:rPr>
          <w:rFonts w:ascii="PT Astra Serif" w:hAnsi="PT Astra Serif"/>
          <w:sz w:val="26"/>
          <w:szCs w:val="26"/>
        </w:rPr>
        <w:t xml:space="preserve">. </w:t>
      </w:r>
      <w:proofErr w:type="spellStart"/>
      <w:r w:rsidR="00EE20DA">
        <w:rPr>
          <w:rFonts w:ascii="PT Astra Serif" w:hAnsi="PT Astra Serif"/>
          <w:sz w:val="26"/>
          <w:szCs w:val="26"/>
        </w:rPr>
        <w:t>Кожевниковский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 w:rsidR="00EE20DA">
        <w:rPr>
          <w:rFonts w:ascii="PT Astra Serif" w:hAnsi="PT Astra Serif"/>
          <w:sz w:val="26"/>
          <w:szCs w:val="26"/>
        </w:rPr>
        <w:t>Кожевниковское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EE20DA">
        <w:rPr>
          <w:rFonts w:ascii="PT Astra Serif" w:hAnsi="PT Astra Serif"/>
          <w:sz w:val="26"/>
          <w:szCs w:val="26"/>
        </w:rPr>
        <w:t>Уртамское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FB1962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EE20DA">
        <w:rPr>
          <w:rFonts w:ascii="PT Astra Serif" w:hAnsi="PT Astra Serif"/>
          <w:sz w:val="26"/>
          <w:szCs w:val="26"/>
        </w:rPr>
        <w:t>. Первомайский район: Улу-</w:t>
      </w:r>
      <w:proofErr w:type="spellStart"/>
      <w:r w:rsidR="00EE20DA">
        <w:rPr>
          <w:rFonts w:ascii="PT Astra Serif" w:hAnsi="PT Astra Serif"/>
          <w:sz w:val="26"/>
          <w:szCs w:val="26"/>
        </w:rPr>
        <w:t>Юльское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EE20DA">
        <w:rPr>
          <w:rFonts w:ascii="PT Astra Serif" w:hAnsi="PT Astra Serif"/>
          <w:sz w:val="26"/>
          <w:szCs w:val="26"/>
        </w:rPr>
        <w:t>Новомариинское</w:t>
      </w:r>
      <w:proofErr w:type="spellEnd"/>
      <w:r w:rsidR="00EE20DA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EE20DA">
        <w:rPr>
          <w:rFonts w:ascii="PT Astra Serif" w:hAnsi="PT Astra Serif"/>
          <w:sz w:val="26"/>
          <w:szCs w:val="26"/>
        </w:rPr>
        <w:t>сп</w:t>
      </w:r>
      <w:proofErr w:type="spellEnd"/>
      <w:r w:rsidR="00EE20DA"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Программы </w:t>
      </w:r>
      <w:r>
        <w:rPr>
          <w:rFonts w:ascii="PT Astra Serif" w:hAnsi="PT Astra Serif"/>
          <w:sz w:val="26"/>
          <w:szCs w:val="26"/>
          <w:u w:val="single"/>
        </w:rPr>
        <w:t>не опубликованы во ФГИС ТП</w:t>
      </w:r>
      <w:r>
        <w:rPr>
          <w:rFonts w:ascii="PT Astra Serif" w:hAnsi="PT Astra Serif"/>
          <w:sz w:val="26"/>
          <w:szCs w:val="26"/>
        </w:rPr>
        <w:t xml:space="preserve"> в </w:t>
      </w:r>
      <w:r w:rsidR="00FB1962">
        <w:rPr>
          <w:rFonts w:ascii="PT Astra Serif" w:hAnsi="PT Astra Serif"/>
          <w:sz w:val="26"/>
          <w:szCs w:val="26"/>
        </w:rPr>
        <w:t>19</w:t>
      </w:r>
      <w:r>
        <w:rPr>
          <w:rFonts w:ascii="PT Astra Serif" w:hAnsi="PT Astra Serif"/>
          <w:sz w:val="26"/>
          <w:szCs w:val="26"/>
        </w:rPr>
        <w:t xml:space="preserve"> МО: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 Городской округ «Город Томск»;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Томский район: Заречное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Зоркальцевское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Межениновское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Мирненское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Моряковское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Новорождественское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Турунтаевское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2B728B">
        <w:rPr>
          <w:rFonts w:ascii="PT Astra Serif" w:hAnsi="PT Astra Serif"/>
          <w:sz w:val="26"/>
          <w:szCs w:val="26"/>
        </w:rPr>
        <w:t>Рыбаловское</w:t>
      </w:r>
      <w:proofErr w:type="spellEnd"/>
      <w:r w:rsidR="002B728B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2B728B">
        <w:rPr>
          <w:rFonts w:ascii="PT Astra Serif" w:hAnsi="PT Astra Serif"/>
          <w:sz w:val="26"/>
          <w:szCs w:val="26"/>
        </w:rPr>
        <w:t>сп</w:t>
      </w:r>
      <w:proofErr w:type="spellEnd"/>
      <w:r w:rsidR="002B728B"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</w:t>
      </w:r>
      <w:proofErr w:type="spellStart"/>
      <w:r>
        <w:rPr>
          <w:rFonts w:ascii="PT Astra Serif" w:hAnsi="PT Astra Serif"/>
          <w:sz w:val="26"/>
          <w:szCs w:val="26"/>
        </w:rPr>
        <w:t>Шегарский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Анастасьевское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Шегарское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 </w:t>
      </w:r>
      <w:proofErr w:type="spellStart"/>
      <w:r>
        <w:rPr>
          <w:rFonts w:ascii="PT Astra Serif" w:hAnsi="PT Astra Serif"/>
          <w:sz w:val="26"/>
          <w:szCs w:val="26"/>
        </w:rPr>
        <w:t>Бакчарский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Бакчарское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 w:rsidR="00FE22EF"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 Зырянский район: </w:t>
      </w:r>
      <w:proofErr w:type="spellStart"/>
      <w:r>
        <w:rPr>
          <w:rFonts w:ascii="PT Astra Serif" w:hAnsi="PT Astra Serif"/>
          <w:sz w:val="26"/>
          <w:szCs w:val="26"/>
        </w:rPr>
        <w:t>Дубровское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Михайловское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 w:rsidR="003B4E66"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 </w:t>
      </w:r>
      <w:proofErr w:type="spellStart"/>
      <w:r>
        <w:rPr>
          <w:rFonts w:ascii="PT Astra Serif" w:hAnsi="PT Astra Serif"/>
          <w:sz w:val="26"/>
          <w:szCs w:val="26"/>
        </w:rPr>
        <w:t>Кожевниковский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Кожевниковское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Уртамское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3B4E66">
        <w:rPr>
          <w:rFonts w:ascii="PT Astra Serif" w:hAnsi="PT Astra Serif"/>
          <w:sz w:val="26"/>
          <w:szCs w:val="26"/>
        </w:rPr>
        <w:t>Песочнодубровское</w:t>
      </w:r>
      <w:proofErr w:type="spellEnd"/>
      <w:r w:rsidR="003B4E66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3B4E66">
        <w:rPr>
          <w:rFonts w:ascii="PT Astra Serif" w:hAnsi="PT Astra Serif"/>
          <w:sz w:val="26"/>
          <w:szCs w:val="26"/>
        </w:rPr>
        <w:t>сп</w:t>
      </w:r>
      <w:proofErr w:type="spellEnd"/>
      <w:r w:rsidR="003B4E66"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7. Первомайский район: Улу-</w:t>
      </w:r>
      <w:proofErr w:type="spellStart"/>
      <w:r>
        <w:rPr>
          <w:rFonts w:ascii="PT Astra Serif" w:hAnsi="PT Astra Serif"/>
          <w:sz w:val="26"/>
          <w:szCs w:val="26"/>
        </w:rPr>
        <w:t>Юльское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z w:val="26"/>
          <w:szCs w:val="26"/>
        </w:rPr>
        <w:t>Новомариинское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12. </w:t>
      </w:r>
      <w:proofErr w:type="spellStart"/>
      <w:r>
        <w:rPr>
          <w:rFonts w:ascii="PT Astra Serif" w:hAnsi="PT Astra Serif"/>
          <w:sz w:val="26"/>
          <w:szCs w:val="26"/>
        </w:rPr>
        <w:t>Молчановский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район: </w:t>
      </w:r>
      <w:proofErr w:type="spellStart"/>
      <w:r>
        <w:rPr>
          <w:rFonts w:ascii="PT Astra Serif" w:hAnsi="PT Astra Serif"/>
          <w:sz w:val="26"/>
          <w:szCs w:val="26"/>
        </w:rPr>
        <w:t>Магочинское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сп</w:t>
      </w:r>
      <w:proofErr w:type="spellEnd"/>
      <w:r>
        <w:rPr>
          <w:rFonts w:ascii="PT Astra Serif" w:hAnsi="PT Astra Serif"/>
          <w:sz w:val="26"/>
          <w:szCs w:val="26"/>
        </w:rPr>
        <w:t>.</w:t>
      </w:r>
    </w:p>
    <w:p w:rsidR="003B4E66" w:rsidRDefault="003B4E66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Сводные данные по публикации утвержденных Программ на официальных сайтах МО и в ФГИС ТП по результатам мониторинга за период со 2 полугодия 2024 года по </w:t>
      </w:r>
      <w:r w:rsidR="003B4E66">
        <w:rPr>
          <w:rFonts w:ascii="PT Astra Serif" w:hAnsi="PT Astra Serif"/>
          <w:sz w:val="26"/>
          <w:szCs w:val="26"/>
        </w:rPr>
        <w:t>1 полугодие 2026 года</w:t>
      </w:r>
      <w:r>
        <w:rPr>
          <w:rFonts w:ascii="PT Astra Serif" w:hAnsi="PT Astra Serif"/>
          <w:sz w:val="26"/>
          <w:szCs w:val="26"/>
        </w:rPr>
        <w:t xml:space="preserve"> отражены в соответствующей диаграмме:</w:t>
      </w:r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3B4E66" w:rsidRDefault="003B4E6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97A82" w:rsidRDefault="00297A8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297A82" w:rsidRDefault="00297A82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3B4E66" w:rsidRDefault="003B4E6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3B4E66" w:rsidRDefault="003B4E66">
      <w:pPr>
        <w:pStyle w:val="ConsPlusNormal"/>
        <w:ind w:firstLine="567"/>
        <w:jc w:val="both"/>
        <w:rPr>
          <w:rFonts w:ascii="PT Astra Serif" w:hAnsi="PT Astra Serif"/>
          <w:sz w:val="24"/>
          <w:szCs w:val="24"/>
        </w:rPr>
      </w:pPr>
    </w:p>
    <w:p w:rsidR="00613711" w:rsidRDefault="00EE20DA">
      <w:pPr>
        <w:pStyle w:val="ConsPlusNormal"/>
        <w:ind w:firstLine="436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lastRenderedPageBreak/>
        <w:t xml:space="preserve">Динамика изменений показателей публикации </w:t>
      </w:r>
      <w:proofErr w:type="gramStart"/>
      <w:r>
        <w:rPr>
          <w:rFonts w:ascii="PT Astra Serif" w:hAnsi="PT Astra Serif"/>
          <w:b/>
          <w:bCs/>
          <w:sz w:val="26"/>
          <w:szCs w:val="26"/>
        </w:rPr>
        <w:t>Программ  комплексного</w:t>
      </w:r>
      <w:proofErr w:type="gramEnd"/>
      <w:r>
        <w:rPr>
          <w:rFonts w:ascii="PT Astra Serif" w:hAnsi="PT Astra Serif"/>
          <w:b/>
          <w:bCs/>
          <w:sz w:val="26"/>
          <w:szCs w:val="26"/>
        </w:rPr>
        <w:t xml:space="preserve"> развития социальной инфраструктуры на официальных сайтах и в Федеральной государственной информационной системе территориального планирования по результатам мониторинга за период </w:t>
      </w:r>
      <w:r w:rsidR="005507E1">
        <w:rPr>
          <w:rFonts w:ascii="PT Astra Serif" w:hAnsi="PT Astra Serif"/>
          <w:b/>
          <w:bCs/>
          <w:sz w:val="26"/>
          <w:szCs w:val="26"/>
        </w:rPr>
        <w:t>2</w:t>
      </w:r>
      <w:r>
        <w:rPr>
          <w:rFonts w:ascii="PT Astra Serif" w:hAnsi="PT Astra Serif"/>
          <w:b/>
          <w:bCs/>
          <w:sz w:val="26"/>
          <w:szCs w:val="26"/>
        </w:rPr>
        <w:t xml:space="preserve"> полугодие 2024 года – </w:t>
      </w:r>
      <w:r w:rsidR="005507E1">
        <w:rPr>
          <w:rFonts w:ascii="PT Astra Serif" w:hAnsi="PT Astra Serif"/>
          <w:b/>
          <w:bCs/>
          <w:sz w:val="26"/>
          <w:szCs w:val="26"/>
        </w:rPr>
        <w:t>1</w:t>
      </w:r>
      <w:r>
        <w:rPr>
          <w:rFonts w:ascii="PT Astra Serif" w:hAnsi="PT Astra Serif"/>
          <w:b/>
          <w:bCs/>
          <w:sz w:val="26"/>
          <w:szCs w:val="26"/>
        </w:rPr>
        <w:t xml:space="preserve"> полугодие 202</w:t>
      </w:r>
      <w:r w:rsidR="005507E1">
        <w:rPr>
          <w:rFonts w:ascii="PT Astra Serif" w:hAnsi="PT Astra Serif"/>
          <w:b/>
          <w:bCs/>
          <w:sz w:val="26"/>
          <w:szCs w:val="26"/>
        </w:rPr>
        <w:t>6</w:t>
      </w:r>
      <w:r w:rsidR="000666B0">
        <w:rPr>
          <w:rFonts w:ascii="PT Astra Serif" w:hAnsi="PT Astra Serif"/>
          <w:b/>
          <w:bCs/>
          <w:sz w:val="26"/>
          <w:szCs w:val="26"/>
        </w:rPr>
        <w:t xml:space="preserve"> года</w:t>
      </w:r>
    </w:p>
    <w:p w:rsidR="00613711" w:rsidRDefault="00EE20DA">
      <w:pPr>
        <w:pStyle w:val="ConsPlusNormal"/>
        <w:ind w:firstLine="0"/>
        <w:jc w:val="both"/>
        <w:rPr>
          <w:rFonts w:ascii="PT Astra Serif" w:hAnsi="PT Astra Serif"/>
          <w:b/>
          <w:sz w:val="24"/>
          <w:szCs w:val="24"/>
        </w:rPr>
      </w:pPr>
      <w:bookmarkStart w:id="0" w:name="_GoBack"/>
      <w:r>
        <w:rPr>
          <w:rFonts w:ascii="PT Astra Serif" w:hAnsi="PT Astra Serif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242570</wp:posOffset>
            </wp:positionV>
            <wp:extent cx="6400800" cy="3429000"/>
            <wp:effectExtent l="0" t="0" r="0" b="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Основными причинами отсутствия опубликованных Программ на официальных сайтах МО и в ФГИС ТП являются: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отсутствие в МО квалифицированных кадров, обладающих навыками работы с сайтами и системами;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 отсутствие технической возможности для входа в личные кабинеты во ФГИС ТП (истечение срока действия паролей и время на получение новых паролей, несвоевременная обратная связь со стороны службы технической поддержки ФГИС ТП).</w:t>
      </w:r>
    </w:p>
    <w:p w:rsidR="005507E1" w:rsidRDefault="005507E1">
      <w:pPr>
        <w:pStyle w:val="ConsPlusNormal"/>
        <w:ind w:firstLine="567"/>
        <w:jc w:val="both"/>
        <w:rPr>
          <w:rFonts w:ascii="PT Astra Serif" w:hAnsi="PT Astra Serif"/>
          <w:b/>
          <w:sz w:val="26"/>
          <w:szCs w:val="26"/>
        </w:rPr>
      </w:pPr>
    </w:p>
    <w:p w:rsidR="00B610F3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Вывод по результатам мониторинга по состоянию на </w:t>
      </w:r>
      <w:r w:rsidR="008C4C36" w:rsidRPr="008C4C36">
        <w:rPr>
          <w:rFonts w:ascii="PT Astra Serif" w:hAnsi="PT Astra Serif"/>
          <w:b/>
          <w:bCs/>
          <w:sz w:val="26"/>
          <w:szCs w:val="26"/>
        </w:rPr>
        <w:t>1</w:t>
      </w:r>
      <w:r>
        <w:rPr>
          <w:rFonts w:ascii="PT Astra Serif" w:hAnsi="PT Astra Serif"/>
          <w:b/>
          <w:bCs/>
          <w:sz w:val="26"/>
          <w:szCs w:val="26"/>
        </w:rPr>
        <w:t xml:space="preserve"> полугодие </w:t>
      </w:r>
      <w:r>
        <w:rPr>
          <w:rFonts w:ascii="PT Astra Serif" w:hAnsi="PT Astra Serif"/>
          <w:b/>
          <w:sz w:val="26"/>
          <w:szCs w:val="26"/>
        </w:rPr>
        <w:t>202</w:t>
      </w:r>
      <w:r w:rsidR="008C4C36">
        <w:rPr>
          <w:rFonts w:ascii="PT Astra Serif" w:hAnsi="PT Astra Serif"/>
          <w:b/>
          <w:sz w:val="26"/>
          <w:szCs w:val="26"/>
        </w:rPr>
        <w:t>6</w:t>
      </w:r>
      <w:r>
        <w:rPr>
          <w:rFonts w:ascii="PT Astra Serif" w:hAnsi="PT Astra Serif"/>
          <w:b/>
          <w:sz w:val="26"/>
          <w:szCs w:val="26"/>
        </w:rPr>
        <w:t xml:space="preserve"> года: </w:t>
      </w:r>
      <w:r w:rsidRPr="005507E1">
        <w:rPr>
          <w:rFonts w:ascii="PT Astra Serif" w:hAnsi="PT Astra Serif"/>
          <w:sz w:val="26"/>
          <w:szCs w:val="26"/>
        </w:rPr>
        <w:t xml:space="preserve">в результате продолжающейся работы по организации и осуществлению </w:t>
      </w:r>
      <w:r w:rsidRPr="005507E1">
        <w:rPr>
          <w:rFonts w:ascii="PT Astra Serif" w:eastAsia="PT Astra Serif" w:hAnsi="PT Astra Serif" w:cs="PT Astra Serif"/>
          <w:sz w:val="26"/>
          <w:szCs w:val="26"/>
        </w:rPr>
        <w:t xml:space="preserve">мониторинга Программ комплексного развития социальной инфраструктуры </w:t>
      </w:r>
      <w:r w:rsidR="005507E1">
        <w:rPr>
          <w:rFonts w:ascii="PT Astra Serif" w:eastAsia="PT Astra Serif" w:hAnsi="PT Astra Serif" w:cs="PT Astra Serif"/>
          <w:sz w:val="26"/>
          <w:szCs w:val="26"/>
        </w:rPr>
        <w:t xml:space="preserve">сохраняется положительная </w:t>
      </w:r>
      <w:r w:rsidRPr="005507E1">
        <w:rPr>
          <w:rFonts w:ascii="PT Astra Serif" w:eastAsia="PT Astra Serif" w:hAnsi="PT Astra Serif" w:cs="PT Astra Serif"/>
          <w:sz w:val="26"/>
          <w:szCs w:val="26"/>
        </w:rPr>
        <w:t xml:space="preserve">динамика подготовки, утверждения и размещения на официальных сайтах органов местного самоуправления и ФГИС ТП </w:t>
      </w:r>
      <w:r w:rsidR="005507E1">
        <w:rPr>
          <w:rFonts w:ascii="PT Astra Serif" w:eastAsia="PT Astra Serif" w:hAnsi="PT Astra Serif" w:cs="PT Astra Serif"/>
          <w:sz w:val="26"/>
          <w:szCs w:val="26"/>
        </w:rPr>
        <w:t>соответствующих П</w:t>
      </w:r>
      <w:r w:rsidRPr="005507E1">
        <w:rPr>
          <w:rFonts w:ascii="PT Astra Serif" w:hAnsi="PT Astra Serif"/>
          <w:sz w:val="26"/>
          <w:szCs w:val="26"/>
        </w:rPr>
        <w:t xml:space="preserve">рограмм. </w:t>
      </w:r>
    </w:p>
    <w:p w:rsidR="00B610F3" w:rsidRDefault="00B610F3" w:rsidP="00B610F3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Стоит отметить </w:t>
      </w:r>
      <w:r w:rsidR="005507E1">
        <w:rPr>
          <w:rFonts w:ascii="PT Astra Serif" w:hAnsi="PT Astra Serif"/>
          <w:sz w:val="26"/>
          <w:szCs w:val="26"/>
        </w:rPr>
        <w:t>муниципальные образования</w:t>
      </w:r>
      <w:r>
        <w:rPr>
          <w:rFonts w:ascii="PT Astra Serif" w:hAnsi="PT Astra Serif"/>
          <w:sz w:val="26"/>
          <w:szCs w:val="26"/>
        </w:rPr>
        <w:t>,</w:t>
      </w:r>
      <w:r w:rsidR="005507E1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которые в текущем периоде провели активную работу по устранению всех замечаний и разработке новых программ: ЗАТО Северск, Александровский р-н, </w:t>
      </w:r>
      <w:proofErr w:type="spellStart"/>
      <w:r>
        <w:rPr>
          <w:rFonts w:ascii="PT Astra Serif" w:hAnsi="PT Astra Serif"/>
          <w:sz w:val="26"/>
          <w:szCs w:val="26"/>
        </w:rPr>
        <w:t>Асиновский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р-н, </w:t>
      </w:r>
      <w:proofErr w:type="spellStart"/>
      <w:r>
        <w:rPr>
          <w:rFonts w:ascii="PT Astra Serif" w:hAnsi="PT Astra Serif"/>
          <w:sz w:val="26"/>
          <w:szCs w:val="26"/>
        </w:rPr>
        <w:t>Верхнекетский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р-н, </w:t>
      </w:r>
      <w:proofErr w:type="spellStart"/>
      <w:r>
        <w:rPr>
          <w:rFonts w:ascii="PT Astra Serif" w:hAnsi="PT Astra Serif"/>
          <w:sz w:val="26"/>
          <w:szCs w:val="26"/>
        </w:rPr>
        <w:t>Каргасокский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р-н, </w:t>
      </w:r>
      <w:proofErr w:type="spellStart"/>
      <w:r>
        <w:rPr>
          <w:rFonts w:ascii="PT Astra Serif" w:hAnsi="PT Astra Serif"/>
          <w:sz w:val="26"/>
          <w:szCs w:val="26"/>
        </w:rPr>
        <w:t>Колпашевский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р-н, </w:t>
      </w:r>
      <w:proofErr w:type="spellStart"/>
      <w:r>
        <w:rPr>
          <w:rFonts w:ascii="PT Astra Serif" w:hAnsi="PT Astra Serif"/>
          <w:sz w:val="26"/>
          <w:szCs w:val="26"/>
        </w:rPr>
        <w:t>Кривошеинский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р-н, </w:t>
      </w:r>
      <w:proofErr w:type="spellStart"/>
      <w:r>
        <w:rPr>
          <w:rFonts w:ascii="PT Astra Serif" w:hAnsi="PT Astra Serif"/>
          <w:sz w:val="26"/>
          <w:szCs w:val="26"/>
        </w:rPr>
        <w:t>Парабельский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р-н, </w:t>
      </w:r>
      <w:proofErr w:type="spellStart"/>
      <w:r>
        <w:rPr>
          <w:rFonts w:ascii="PT Astra Serif" w:hAnsi="PT Astra Serif"/>
          <w:sz w:val="26"/>
          <w:szCs w:val="26"/>
        </w:rPr>
        <w:t>Тегульдетский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р-н, </w:t>
      </w:r>
      <w:proofErr w:type="spellStart"/>
      <w:r>
        <w:rPr>
          <w:rFonts w:ascii="PT Astra Serif" w:hAnsi="PT Astra Serif"/>
          <w:sz w:val="26"/>
          <w:szCs w:val="26"/>
        </w:rPr>
        <w:t>Чаинский</w:t>
      </w:r>
      <w:proofErr w:type="spellEnd"/>
      <w:r>
        <w:rPr>
          <w:rFonts w:ascii="PT Astra Serif" w:hAnsi="PT Astra Serif"/>
          <w:sz w:val="26"/>
          <w:szCs w:val="26"/>
        </w:rPr>
        <w:t xml:space="preserve"> р-н.</w:t>
      </w:r>
    </w:p>
    <w:p w:rsidR="00613711" w:rsidRDefault="00EE20D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r w:rsidRPr="005507E1">
        <w:rPr>
          <w:rFonts w:ascii="PT Astra Serif" w:hAnsi="PT Astra Serif"/>
          <w:sz w:val="26"/>
          <w:szCs w:val="26"/>
        </w:rPr>
        <w:t xml:space="preserve">В ряде МО Программы находятся в стадии разработки, их утверждение запланировано на </w:t>
      </w:r>
      <w:r w:rsidR="008C0C98" w:rsidRPr="008C0C98">
        <w:rPr>
          <w:rFonts w:ascii="PT Astra Serif" w:hAnsi="PT Astra Serif"/>
          <w:sz w:val="26"/>
          <w:szCs w:val="26"/>
        </w:rPr>
        <w:t>2</w:t>
      </w:r>
      <w:r w:rsidRPr="005507E1">
        <w:rPr>
          <w:rFonts w:ascii="PT Astra Serif" w:hAnsi="PT Astra Serif"/>
          <w:sz w:val="26"/>
          <w:szCs w:val="26"/>
        </w:rPr>
        <w:t xml:space="preserve"> полугодие 2026</w:t>
      </w:r>
      <w:r w:rsidR="00524F02">
        <w:rPr>
          <w:rFonts w:ascii="PT Astra Serif" w:hAnsi="PT Astra Serif"/>
          <w:sz w:val="26"/>
          <w:szCs w:val="26"/>
        </w:rPr>
        <w:t xml:space="preserve"> года</w:t>
      </w:r>
      <w:r w:rsidRPr="005507E1">
        <w:rPr>
          <w:rFonts w:ascii="PT Astra Serif" w:hAnsi="PT Astra Serif"/>
          <w:sz w:val="26"/>
          <w:szCs w:val="26"/>
        </w:rPr>
        <w:t>. Также частью МО предусмотрены бюджетные средства на 202</w:t>
      </w:r>
      <w:r w:rsidR="008C0C98">
        <w:rPr>
          <w:rFonts w:ascii="PT Astra Serif" w:hAnsi="PT Astra Serif"/>
          <w:sz w:val="26"/>
          <w:szCs w:val="26"/>
        </w:rPr>
        <w:t>7</w:t>
      </w:r>
      <w:r w:rsidRPr="005507E1">
        <w:rPr>
          <w:rFonts w:ascii="PT Astra Serif" w:hAnsi="PT Astra Serif"/>
          <w:sz w:val="26"/>
          <w:szCs w:val="26"/>
        </w:rPr>
        <w:t xml:space="preserve"> год для разработки Программ.</w:t>
      </w:r>
    </w:p>
    <w:p w:rsidR="00B526EA" w:rsidRDefault="00B526E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B526EA" w:rsidRDefault="00B526E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B526EA" w:rsidRDefault="00B526E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B526EA" w:rsidRDefault="00B526E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B526EA" w:rsidRDefault="00B526E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171C15" w:rsidRDefault="00171C15">
      <w:pPr>
        <w:spacing w:before="0"/>
        <w:jc w:val="left"/>
        <w:rPr>
          <w:rFonts w:ascii="PT Astra Serif" w:hAnsi="PT Astra Serif"/>
          <w:sz w:val="26"/>
          <w:szCs w:val="26"/>
        </w:rPr>
        <w:sectPr w:rsidR="00171C15">
          <w:headerReference w:type="default" r:id="rId10"/>
          <w:footerReference w:type="even" r:id="rId11"/>
          <w:pgSz w:w="11907" w:h="16840"/>
          <w:pgMar w:top="851" w:right="567" w:bottom="568" w:left="1276" w:header="567" w:footer="567" w:gutter="0"/>
          <w:pgNumType w:start="1"/>
          <w:cols w:space="1701"/>
          <w:titlePg/>
          <w:docGrid w:linePitch="360"/>
        </w:sectPr>
      </w:pPr>
    </w:p>
    <w:p w:rsidR="00B526EA" w:rsidRPr="00171C15" w:rsidRDefault="00171C15" w:rsidP="00171C15">
      <w:pPr>
        <w:spacing w:before="0"/>
        <w:jc w:val="left"/>
        <w:rPr>
          <w:rFonts w:ascii="PT Astra Serif" w:eastAsia="Times New Roman" w:hAnsi="PT Astra Serif" w:cs="Arial"/>
          <w:sz w:val="26"/>
          <w:szCs w:val="26"/>
          <w:lang w:eastAsia="ru-RU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lastRenderedPageBreak/>
        <w:drawing>
          <wp:inline distT="0" distB="0" distL="0" distR="0" wp14:anchorId="1CF4586C" wp14:editId="64F0E280">
            <wp:extent cx="9782175" cy="36290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26EA" w:rsidRPr="005507E1" w:rsidRDefault="00B526E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sectPr w:rsidR="00613711" w:rsidSect="00171C15">
      <w:pgSz w:w="16840" w:h="11907" w:orient="landscape"/>
      <w:pgMar w:top="1276" w:right="851" w:bottom="567" w:left="568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711" w:rsidRDefault="00EE20DA">
      <w:pPr>
        <w:spacing w:before="0"/>
      </w:pPr>
      <w:r>
        <w:separator/>
      </w:r>
    </w:p>
  </w:endnote>
  <w:endnote w:type="continuationSeparator" w:id="0">
    <w:p w:rsidR="00613711" w:rsidRDefault="00EE20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11" w:rsidRDefault="00EE20D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:rsidR="00613711" w:rsidRDefault="00613711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711" w:rsidRDefault="00EE20DA">
      <w:pPr>
        <w:spacing w:before="0"/>
      </w:pPr>
      <w:r>
        <w:separator/>
      </w:r>
    </w:p>
  </w:footnote>
  <w:footnote w:type="continuationSeparator" w:id="0">
    <w:p w:rsidR="00613711" w:rsidRDefault="00EE20D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613212"/>
      <w:docPartObj>
        <w:docPartGallery w:val="Page Numbers (Top of Page)"/>
        <w:docPartUnique/>
      </w:docPartObj>
    </w:sdtPr>
    <w:sdtEndPr/>
    <w:sdtContent>
      <w:p w:rsidR="00613711" w:rsidRDefault="00EE20DA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 w:rsidR="00DB4A74">
          <w:rPr>
            <w:rFonts w:ascii="PT Astra Serif" w:eastAsia="PT Astra Serif" w:hAnsi="PT Astra Serif" w:cs="PT Astra Serif"/>
            <w:noProof/>
            <w:sz w:val="28"/>
            <w:szCs w:val="28"/>
          </w:rPr>
          <w:t>4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1F1"/>
    <w:multiLevelType w:val="hybridMultilevel"/>
    <w:tmpl w:val="38D6F5CC"/>
    <w:lvl w:ilvl="0" w:tplc="4B0C5EBA">
      <w:start w:val="1"/>
      <w:numFmt w:val="bullet"/>
      <w:pStyle w:val="a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7FD6CA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8A96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EA39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675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6AF0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CC15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7870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A8E1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C220D"/>
    <w:multiLevelType w:val="hybridMultilevel"/>
    <w:tmpl w:val="FF2E1DDE"/>
    <w:lvl w:ilvl="0" w:tplc="11D696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B12C7230">
      <w:start w:val="1"/>
      <w:numFmt w:val="lowerLetter"/>
      <w:lvlText w:val="%2."/>
      <w:lvlJc w:val="left"/>
      <w:pPr>
        <w:ind w:left="1647" w:hanging="360"/>
      </w:pPr>
    </w:lvl>
    <w:lvl w:ilvl="2" w:tplc="37807854">
      <w:start w:val="1"/>
      <w:numFmt w:val="lowerRoman"/>
      <w:lvlText w:val="%3."/>
      <w:lvlJc w:val="right"/>
      <w:pPr>
        <w:ind w:left="2367" w:hanging="180"/>
      </w:pPr>
    </w:lvl>
    <w:lvl w:ilvl="3" w:tplc="CB8A0E6E">
      <w:start w:val="1"/>
      <w:numFmt w:val="decimal"/>
      <w:lvlText w:val="%4."/>
      <w:lvlJc w:val="left"/>
      <w:pPr>
        <w:ind w:left="3087" w:hanging="360"/>
      </w:pPr>
    </w:lvl>
    <w:lvl w:ilvl="4" w:tplc="101C4A54">
      <w:start w:val="1"/>
      <w:numFmt w:val="lowerLetter"/>
      <w:lvlText w:val="%5."/>
      <w:lvlJc w:val="left"/>
      <w:pPr>
        <w:ind w:left="3807" w:hanging="360"/>
      </w:pPr>
    </w:lvl>
    <w:lvl w:ilvl="5" w:tplc="EE1EB3DE">
      <w:start w:val="1"/>
      <w:numFmt w:val="lowerRoman"/>
      <w:lvlText w:val="%6."/>
      <w:lvlJc w:val="right"/>
      <w:pPr>
        <w:ind w:left="4527" w:hanging="180"/>
      </w:pPr>
    </w:lvl>
    <w:lvl w:ilvl="6" w:tplc="D982D70C">
      <w:start w:val="1"/>
      <w:numFmt w:val="decimal"/>
      <w:lvlText w:val="%7."/>
      <w:lvlJc w:val="left"/>
      <w:pPr>
        <w:ind w:left="5247" w:hanging="360"/>
      </w:pPr>
    </w:lvl>
    <w:lvl w:ilvl="7" w:tplc="9F3A10A2">
      <w:start w:val="1"/>
      <w:numFmt w:val="lowerLetter"/>
      <w:lvlText w:val="%8."/>
      <w:lvlJc w:val="left"/>
      <w:pPr>
        <w:ind w:left="5967" w:hanging="360"/>
      </w:pPr>
    </w:lvl>
    <w:lvl w:ilvl="8" w:tplc="9BA81E9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02F4721"/>
    <w:multiLevelType w:val="hybridMultilevel"/>
    <w:tmpl w:val="22F2166E"/>
    <w:lvl w:ilvl="0" w:tplc="015A5A7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9DAC460">
      <w:start w:val="1"/>
      <w:numFmt w:val="lowerLetter"/>
      <w:lvlText w:val="%2."/>
      <w:lvlJc w:val="left"/>
      <w:pPr>
        <w:ind w:left="1647" w:hanging="360"/>
      </w:pPr>
    </w:lvl>
    <w:lvl w:ilvl="2" w:tplc="3A2ABF1A">
      <w:start w:val="1"/>
      <w:numFmt w:val="lowerRoman"/>
      <w:lvlText w:val="%3."/>
      <w:lvlJc w:val="right"/>
      <w:pPr>
        <w:ind w:left="2367" w:hanging="180"/>
      </w:pPr>
    </w:lvl>
    <w:lvl w:ilvl="3" w:tplc="D45440A6">
      <w:start w:val="1"/>
      <w:numFmt w:val="decimal"/>
      <w:lvlText w:val="%4."/>
      <w:lvlJc w:val="left"/>
      <w:pPr>
        <w:ind w:left="3087" w:hanging="360"/>
      </w:pPr>
    </w:lvl>
    <w:lvl w:ilvl="4" w:tplc="762CD278">
      <w:start w:val="1"/>
      <w:numFmt w:val="lowerLetter"/>
      <w:lvlText w:val="%5."/>
      <w:lvlJc w:val="left"/>
      <w:pPr>
        <w:ind w:left="3807" w:hanging="360"/>
      </w:pPr>
    </w:lvl>
    <w:lvl w:ilvl="5" w:tplc="E370EFB0">
      <w:start w:val="1"/>
      <w:numFmt w:val="lowerRoman"/>
      <w:lvlText w:val="%6."/>
      <w:lvlJc w:val="right"/>
      <w:pPr>
        <w:ind w:left="4527" w:hanging="180"/>
      </w:pPr>
    </w:lvl>
    <w:lvl w:ilvl="6" w:tplc="E5FEC1F0">
      <w:start w:val="1"/>
      <w:numFmt w:val="decimal"/>
      <w:lvlText w:val="%7."/>
      <w:lvlJc w:val="left"/>
      <w:pPr>
        <w:ind w:left="5247" w:hanging="360"/>
      </w:pPr>
    </w:lvl>
    <w:lvl w:ilvl="7" w:tplc="B3229710">
      <w:start w:val="1"/>
      <w:numFmt w:val="lowerLetter"/>
      <w:lvlText w:val="%8."/>
      <w:lvlJc w:val="left"/>
      <w:pPr>
        <w:ind w:left="5967" w:hanging="360"/>
      </w:pPr>
    </w:lvl>
    <w:lvl w:ilvl="8" w:tplc="D916AD10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4E55EA"/>
    <w:multiLevelType w:val="multilevel"/>
    <w:tmpl w:val="427C1C3C"/>
    <w:styleLink w:val="a0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4" w15:restartNumberingAfterBreak="0">
    <w:nsid w:val="76BE28A9"/>
    <w:multiLevelType w:val="hybridMultilevel"/>
    <w:tmpl w:val="0960E0F8"/>
    <w:lvl w:ilvl="0" w:tplc="386015A8">
      <w:start w:val="1"/>
      <w:numFmt w:val="bullet"/>
      <w:pStyle w:val="a1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2E7C9CEC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9F24D58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698699E2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05CCCA6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EB7EFE2E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B0C27FB2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716A4894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D5A482C2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5" w15:restartNumberingAfterBreak="0">
    <w:nsid w:val="783D1B17"/>
    <w:multiLevelType w:val="multilevel"/>
    <w:tmpl w:val="962E0024"/>
    <w:lvl w:ilvl="0">
      <w:start w:val="1"/>
      <w:numFmt w:val="decimal"/>
      <w:pStyle w:val="a2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11"/>
    <w:rsid w:val="000666B0"/>
    <w:rsid w:val="00171C15"/>
    <w:rsid w:val="001C7486"/>
    <w:rsid w:val="002747D0"/>
    <w:rsid w:val="00297A82"/>
    <w:rsid w:val="002B728B"/>
    <w:rsid w:val="002D1356"/>
    <w:rsid w:val="003B4E66"/>
    <w:rsid w:val="003F35AA"/>
    <w:rsid w:val="00427905"/>
    <w:rsid w:val="004E72A2"/>
    <w:rsid w:val="00520682"/>
    <w:rsid w:val="00524F02"/>
    <w:rsid w:val="005507E1"/>
    <w:rsid w:val="005C3BFE"/>
    <w:rsid w:val="00613711"/>
    <w:rsid w:val="00635C9C"/>
    <w:rsid w:val="007368AB"/>
    <w:rsid w:val="0077493F"/>
    <w:rsid w:val="008849EC"/>
    <w:rsid w:val="008C0C98"/>
    <w:rsid w:val="008C4C36"/>
    <w:rsid w:val="009A5197"/>
    <w:rsid w:val="00A53673"/>
    <w:rsid w:val="00AB2F63"/>
    <w:rsid w:val="00B13D22"/>
    <w:rsid w:val="00B526EA"/>
    <w:rsid w:val="00B610F3"/>
    <w:rsid w:val="00CA2856"/>
    <w:rsid w:val="00CD38D5"/>
    <w:rsid w:val="00DB3FFE"/>
    <w:rsid w:val="00DB4A74"/>
    <w:rsid w:val="00DE2BB3"/>
    <w:rsid w:val="00EE20DA"/>
    <w:rsid w:val="00FB1962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A83E4-82ED-4A77-92B3-765BE54F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styleId="11">
    <w:name w:val="Plain Table 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C4E5A0" w:themeColor="accent1" w:themeTint="67"/>
        <w:left w:val="single" w:sz="4" w:space="0" w:color="C4E5A0" w:themeColor="accent1" w:themeTint="67"/>
        <w:bottom w:val="single" w:sz="4" w:space="0" w:color="C4E5A0" w:themeColor="accent1" w:themeTint="67"/>
        <w:right w:val="single" w:sz="4" w:space="0" w:color="C4E5A0" w:themeColor="accent1" w:themeTint="67"/>
        <w:insideH w:val="single" w:sz="4" w:space="0" w:color="C4E5A0" w:themeColor="accent1" w:themeTint="67"/>
        <w:insideV w:val="single" w:sz="4" w:space="0" w:color="C4E5A0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A7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E5A0" w:themeColor="accent1" w:themeTint="67"/>
          <w:left w:val="single" w:sz="4" w:space="0" w:color="C4E5A0" w:themeColor="accent1" w:themeTint="67"/>
          <w:bottom w:val="single" w:sz="4" w:space="0" w:color="C4E5A0" w:themeColor="accent1" w:themeTint="67"/>
          <w:right w:val="single" w:sz="4" w:space="0" w:color="C4E5A0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C7C4C4" w:themeColor="accent2" w:themeTint="67"/>
        <w:left w:val="single" w:sz="4" w:space="0" w:color="C7C4C4" w:themeColor="accent2" w:themeTint="67"/>
        <w:bottom w:val="single" w:sz="4" w:space="0" w:color="C7C4C4" w:themeColor="accent2" w:themeTint="67"/>
        <w:right w:val="single" w:sz="4" w:space="0" w:color="C7C4C4" w:themeColor="accent2" w:themeTint="67"/>
        <w:insideH w:val="single" w:sz="4" w:space="0" w:color="C7C4C4" w:themeColor="accent2" w:themeTint="67"/>
        <w:insideV w:val="single" w:sz="4" w:space="0" w:color="C7C4C4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EABA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C4C4" w:themeColor="accent2" w:themeTint="67"/>
          <w:left w:val="single" w:sz="4" w:space="0" w:color="C7C4C4" w:themeColor="accent2" w:themeTint="67"/>
          <w:bottom w:val="single" w:sz="4" w:space="0" w:color="C7C4C4" w:themeColor="accent2" w:themeTint="67"/>
          <w:right w:val="single" w:sz="4" w:space="0" w:color="C7C4C4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FEB1B1" w:themeColor="accent3" w:themeTint="67"/>
        <w:left w:val="single" w:sz="4" w:space="0" w:color="FEB1B1" w:themeColor="accent3" w:themeTint="67"/>
        <w:bottom w:val="single" w:sz="4" w:space="0" w:color="FEB1B1" w:themeColor="accent3" w:themeTint="67"/>
        <w:right w:val="single" w:sz="4" w:space="0" w:color="FEB1B1" w:themeColor="accent3" w:themeTint="67"/>
        <w:insideH w:val="single" w:sz="4" w:space="0" w:color="FEB1B1" w:themeColor="accent3" w:themeTint="67"/>
        <w:insideV w:val="single" w:sz="4" w:space="0" w:color="FEB1B1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E8E8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B1B1" w:themeColor="accent3" w:themeTint="67"/>
          <w:left w:val="single" w:sz="4" w:space="0" w:color="FEB1B1" w:themeColor="accent3" w:themeTint="67"/>
          <w:bottom w:val="single" w:sz="4" w:space="0" w:color="FEB1B1" w:themeColor="accent3" w:themeTint="67"/>
          <w:right w:val="single" w:sz="4" w:space="0" w:color="FEB1B1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7ABC32" w:themeColor="accent1" w:themeTint="EA"/>
        <w:insideH w:val="single" w:sz="4" w:space="0" w:color="7ABC32" w:themeColor="accent1" w:themeTint="EA"/>
        <w:insideV w:val="single" w:sz="4" w:space="0" w:color="7ABC3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ABC3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ABC3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DA9A9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DA9A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E3F3F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1B1B1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1B1B1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7ABC32" w:themeColor="accent1" w:themeTint="EA"/>
        <w:insideH w:val="single" w:sz="4" w:space="0" w:color="7ABC32" w:themeColor="accent1" w:themeTint="EA"/>
        <w:insideV w:val="single" w:sz="4" w:space="0" w:color="7ABC3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DDB7A" w:themeColor="accent1" w:themeTint="90"/>
        <w:left w:val="single" w:sz="4" w:space="0" w:color="ADDB7A" w:themeColor="accent1" w:themeTint="90"/>
        <w:bottom w:val="single" w:sz="4" w:space="0" w:color="ADDB7A" w:themeColor="accent1" w:themeTint="90"/>
        <w:right w:val="single" w:sz="4" w:space="0" w:color="ADDB7A" w:themeColor="accent1" w:themeTint="90"/>
        <w:insideH w:val="single" w:sz="4" w:space="0" w:color="ADDB7A" w:themeColor="accent1" w:themeTint="90"/>
        <w:insideV w:val="single" w:sz="4" w:space="0" w:color="ADDB7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ABC32" w:themeColor="accent1" w:themeTint="EA"/>
          <w:left w:val="single" w:sz="4" w:space="0" w:color="7ABC32" w:themeColor="accent1" w:themeTint="EA"/>
          <w:bottom w:val="single" w:sz="4" w:space="0" w:color="7ABC32" w:themeColor="accent1" w:themeTint="EA"/>
          <w:right w:val="single" w:sz="4" w:space="0" w:color="7ABC32" w:themeColor="accent1" w:themeTint="EA"/>
        </w:tcBorders>
        <w:shd w:val="clear" w:color="7ABC32" w:themeColor="accent1" w:themeTint="EA" w:fill="7ABC3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7ABC3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2D0" w:themeColor="accent1" w:themeTint="32" w:fill="E2F2D0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2D0" w:themeColor="accent1" w:themeTint="32" w:fill="E2F2D0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B1ADAD" w:themeColor="accent2" w:themeTint="90"/>
        <w:left w:val="single" w:sz="4" w:space="0" w:color="B1ADAD" w:themeColor="accent2" w:themeTint="90"/>
        <w:bottom w:val="single" w:sz="4" w:space="0" w:color="B1ADAD" w:themeColor="accent2" w:themeTint="90"/>
        <w:right w:val="single" w:sz="4" w:space="0" w:color="B1ADAD" w:themeColor="accent2" w:themeTint="90"/>
        <w:insideH w:val="single" w:sz="4" w:space="0" w:color="B1ADAD" w:themeColor="accent2" w:themeTint="90"/>
        <w:insideV w:val="single" w:sz="4" w:space="0" w:color="B1ADA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DA9A9" w:themeColor="accent2" w:themeTint="97"/>
          <w:left w:val="single" w:sz="4" w:space="0" w:color="ADA9A9" w:themeColor="accent2" w:themeTint="97"/>
          <w:bottom w:val="single" w:sz="4" w:space="0" w:color="ADA9A9" w:themeColor="accent2" w:themeTint="97"/>
          <w:right w:val="single" w:sz="4" w:space="0" w:color="ADA9A9" w:themeColor="accent2" w:themeTint="97"/>
        </w:tcBorders>
        <w:shd w:val="clear" w:color="ADA9A9" w:themeColor="accent2" w:themeTint="97" w:fill="ADA9A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ADA9A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FE9292" w:themeColor="accent3" w:themeTint="90"/>
        <w:left w:val="single" w:sz="4" w:space="0" w:color="FE9292" w:themeColor="accent3" w:themeTint="90"/>
        <w:bottom w:val="single" w:sz="4" w:space="0" w:color="FE9292" w:themeColor="accent3" w:themeTint="90"/>
        <w:right w:val="single" w:sz="4" w:space="0" w:color="FE9292" w:themeColor="accent3" w:themeTint="90"/>
        <w:insideH w:val="single" w:sz="4" w:space="0" w:color="FE9292" w:themeColor="accent3" w:themeTint="90"/>
        <w:insideV w:val="single" w:sz="4" w:space="0" w:color="FE9292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E3F3F" w:themeColor="accent3" w:themeTint="FE"/>
          <w:left w:val="single" w:sz="4" w:space="0" w:color="FE3F3F" w:themeColor="accent3" w:themeTint="FE"/>
          <w:bottom w:val="single" w:sz="4" w:space="0" w:color="FE3F3F" w:themeColor="accent3" w:themeTint="FE"/>
          <w:right w:val="single" w:sz="4" w:space="0" w:color="FE3F3F" w:themeColor="accent3" w:themeTint="FE"/>
        </w:tcBorders>
        <w:shd w:val="clear" w:color="FE3F3F" w:themeColor="accent3" w:themeTint="FE" w:fill="FE3F3F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B6B6B6" w:themeColor="accent4" w:themeTint="90"/>
        <w:left w:val="single" w:sz="4" w:space="0" w:color="B6B6B6" w:themeColor="accent4" w:themeTint="90"/>
        <w:bottom w:val="single" w:sz="4" w:space="0" w:color="B6B6B6" w:themeColor="accent4" w:themeTint="90"/>
        <w:right w:val="single" w:sz="4" w:space="0" w:color="B6B6B6" w:themeColor="accent4" w:themeTint="90"/>
        <w:insideH w:val="single" w:sz="4" w:space="0" w:color="B6B6B6" w:themeColor="accent4" w:themeTint="90"/>
        <w:insideV w:val="single" w:sz="4" w:space="0" w:color="B6B6B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1B1B1" w:themeColor="accent4" w:themeTint="9A"/>
          <w:left w:val="single" w:sz="4" w:space="0" w:color="B1B1B1" w:themeColor="accent4" w:themeTint="9A"/>
          <w:bottom w:val="single" w:sz="4" w:space="0" w:color="B1B1B1" w:themeColor="accent4" w:themeTint="9A"/>
          <w:right w:val="single" w:sz="4" w:space="0" w:color="B1B1B1" w:themeColor="accent4" w:themeTint="9A"/>
        </w:tcBorders>
        <w:shd w:val="clear" w:color="B1B1B1" w:themeColor="accent4" w:themeTint="9A" w:fill="B1B1B1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1B1B1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F2CF" w:themeColor="accent1" w:themeTint="34" w:fill="E1F2C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EA92D" w:themeColor="accent1" w:fill="6EA92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band1Vert">
      <w:tblPr/>
      <w:tcPr>
        <w:shd w:val="clear" w:color="BCE293" w:themeColor="accent1" w:themeTint="75" w:fill="BCE293" w:themeFill="accent1" w:themeFillTint="75"/>
      </w:tcPr>
    </w:tblStylePr>
    <w:tblStylePr w:type="band1Horz">
      <w:tblPr/>
      <w:tcPr>
        <w:shd w:val="clear" w:color="BCE293" w:themeColor="accent1" w:themeTint="75" w:fill="BCE293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2E2" w:themeColor="accent2" w:themeTint="32" w:fill="E4E2E2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57070" w:themeColor="accent2" w:fill="757070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band1Vert">
      <w:tblPr/>
      <w:tcPr>
        <w:shd w:val="clear" w:color="C0BDBD" w:themeColor="accent2" w:themeTint="75" w:fill="C0BDBD" w:themeFill="accent2" w:themeFillTint="75"/>
      </w:tcPr>
    </w:tblStylePr>
    <w:tblStylePr w:type="band1Horz">
      <w:tblPr/>
      <w:tcPr>
        <w:shd w:val="clear" w:color="C0BDBD" w:themeColor="accent2" w:themeTint="75" w:fill="C0BDBD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ED7D7" w:themeColor="accent3" w:themeTint="34" w:fill="FED7D7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E3F3F" w:themeColor="accent3" w:fill="FE3F3F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band1Vert">
      <w:tblPr/>
      <w:tcPr>
        <w:shd w:val="clear" w:color="FEA6A6" w:themeColor="accent3" w:themeTint="75" w:fill="FEA6A6" w:themeFill="accent3" w:themeFillTint="75"/>
      </w:tcPr>
    </w:tblStylePr>
    <w:tblStylePr w:type="band1Horz">
      <w:tblPr/>
      <w:tcPr>
        <w:shd w:val="clear" w:color="FEA6A6" w:themeColor="accent3" w:themeTint="75" w:fill="FEA6A6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4E4" w:themeColor="accent4" w:themeTint="34" w:fill="E4E4E4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F7F7F" w:themeColor="accent4" w:fill="7F7F7F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band1Vert">
      <w:tblPr/>
      <w:tcPr>
        <w:shd w:val="clear" w:color="C4C4C4" w:themeColor="accent4" w:themeTint="75" w:fill="C4C4C4" w:themeFill="accent4" w:themeFillTint="75"/>
      </w:tcPr>
    </w:tblStylePr>
    <w:tblStylePr w:type="band1Horz">
      <w:tblPr/>
      <w:tcPr>
        <w:shd w:val="clear" w:color="C4C4C4" w:themeColor="accent4" w:themeTint="75" w:fill="C4C4C4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B6DF89" w:themeColor="accent1" w:themeTint="80"/>
        <w:left w:val="single" w:sz="4" w:space="0" w:color="B6DF89" w:themeColor="accent1" w:themeTint="80"/>
        <w:bottom w:val="single" w:sz="4" w:space="0" w:color="B6DF89" w:themeColor="accent1" w:themeTint="80"/>
        <w:right w:val="single" w:sz="4" w:space="0" w:color="B6DF89" w:themeColor="accent1" w:themeTint="80"/>
        <w:insideH w:val="single" w:sz="4" w:space="0" w:color="B6DF89" w:themeColor="accent1" w:themeTint="80"/>
        <w:insideV w:val="single" w:sz="4" w:space="0" w:color="B6DF89" w:themeColor="accent1" w:themeTint="80"/>
      </w:tblBorders>
    </w:tblPr>
    <w:tblStylePr w:type="firstRow">
      <w:rPr>
        <w:b/>
        <w:color w:val="B6DF89" w:themeColor="accent1" w:themeTint="80" w:themeShade="95"/>
      </w:rPr>
      <w:tblPr/>
      <w:tcPr>
        <w:tcBorders>
          <w:bottom w:val="single" w:sz="12" w:space="0" w:color="B6DF89" w:themeColor="accent1" w:themeTint="80"/>
        </w:tcBorders>
      </w:tcPr>
    </w:tblStylePr>
    <w:tblStylePr w:type="lastRow">
      <w:rPr>
        <w:b/>
        <w:color w:val="B6DF89" w:themeColor="accent1" w:themeTint="80" w:themeShade="95"/>
      </w:rPr>
    </w:tblStylePr>
    <w:tblStylePr w:type="firstCol">
      <w:rPr>
        <w:b/>
        <w:color w:val="B6DF89" w:themeColor="accent1" w:themeTint="80" w:themeShade="95"/>
      </w:rPr>
    </w:tblStylePr>
    <w:tblStylePr w:type="lastCol">
      <w:rPr>
        <w:b/>
        <w:color w:val="B6DF89" w:themeColor="accent1" w:themeTint="80" w:themeShade="95"/>
      </w:rPr>
    </w:tblStylePr>
    <w:tblStylePr w:type="band1Vert"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B6DF89" w:themeColor="accent1" w:themeTint="80" w:themeShade="95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2Horz">
      <w:rPr>
        <w:rFonts w:ascii="Arial" w:hAnsi="Arial"/>
        <w:color w:val="B6DF89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left w:val="single" w:sz="4" w:space="0" w:color="ADA9A9" w:themeColor="accent2" w:themeTint="97"/>
        <w:bottom w:val="single" w:sz="4" w:space="0" w:color="ADA9A9" w:themeColor="accent2" w:themeTint="97"/>
        <w:right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ADA9A9" w:themeColor="accent2" w:themeTint="97" w:themeShade="95"/>
      </w:rPr>
      <w:tblPr/>
      <w:tcPr>
        <w:tcBorders>
          <w:bottom w:val="single" w:sz="12" w:space="0" w:color="ADA9A9" w:themeColor="accent2" w:themeTint="97"/>
        </w:tcBorders>
      </w:tcPr>
    </w:tblStylePr>
    <w:tblStylePr w:type="lastRow">
      <w:rPr>
        <w:b/>
        <w:color w:val="ADA9A9" w:themeColor="accent2" w:themeTint="97" w:themeShade="95"/>
      </w:rPr>
    </w:tblStylePr>
    <w:tblStylePr w:type="firstCol">
      <w:rPr>
        <w:b/>
        <w:color w:val="ADA9A9" w:themeColor="accent2" w:themeTint="97" w:themeShade="95"/>
      </w:rPr>
    </w:tblStylePr>
    <w:tblStylePr w:type="lastCol">
      <w:rPr>
        <w:b/>
        <w:color w:val="ADA9A9" w:themeColor="accent2" w:themeTint="97" w:themeShade="95"/>
      </w:rPr>
    </w:tblStylePr>
    <w:tblStylePr w:type="band1Vert"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FE3F3F" w:themeColor="accent3" w:themeTint="FE"/>
        <w:left w:val="single" w:sz="4" w:space="0" w:color="FE3F3F" w:themeColor="accent3" w:themeTint="FE"/>
        <w:bottom w:val="single" w:sz="4" w:space="0" w:color="FE3F3F" w:themeColor="accent3" w:themeTint="FE"/>
        <w:right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FE3F3F" w:themeColor="accent3" w:themeTint="FE" w:themeShade="95"/>
      </w:rPr>
      <w:tblPr/>
      <w:tcPr>
        <w:tcBorders>
          <w:bottom w:val="single" w:sz="12" w:space="0" w:color="FE3F3F" w:themeColor="accent3" w:themeTint="FE"/>
        </w:tcBorders>
      </w:tcPr>
    </w:tblStylePr>
    <w:tblStylePr w:type="lastRow">
      <w:rPr>
        <w:b/>
        <w:color w:val="FE3F3F" w:themeColor="accent3" w:themeTint="FE" w:themeShade="95"/>
      </w:rPr>
    </w:tblStylePr>
    <w:tblStylePr w:type="firstCol">
      <w:rPr>
        <w:b/>
        <w:color w:val="FE3F3F" w:themeColor="accent3" w:themeTint="FE" w:themeShade="95"/>
      </w:rPr>
    </w:tblStylePr>
    <w:tblStylePr w:type="lastCol">
      <w:rPr>
        <w:b/>
        <w:color w:val="FE3F3F" w:themeColor="accent3" w:themeTint="FE" w:themeShade="95"/>
      </w:rPr>
    </w:tblStylePr>
    <w:tblStylePr w:type="band1Vert"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FE3F3F" w:themeColor="accent3" w:themeTint="FE" w:themeShade="95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2Horz">
      <w:rPr>
        <w:rFonts w:ascii="Arial" w:hAnsi="Arial"/>
        <w:color w:val="FE3F3F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left w:val="single" w:sz="4" w:space="0" w:color="B1B1B1" w:themeColor="accent4" w:themeTint="9A"/>
        <w:bottom w:val="single" w:sz="4" w:space="0" w:color="B1B1B1" w:themeColor="accent4" w:themeTint="9A"/>
        <w:right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B1B1B1" w:themeColor="accent4" w:themeTint="9A" w:themeShade="95"/>
      </w:rPr>
      <w:tblPr/>
      <w:tcPr>
        <w:tcBorders>
          <w:bottom w:val="single" w:sz="12" w:space="0" w:color="B1B1B1" w:themeColor="accent4" w:themeTint="9A"/>
        </w:tcBorders>
      </w:tcPr>
    </w:tblStylePr>
    <w:tblStylePr w:type="lastRow">
      <w:rPr>
        <w:b/>
        <w:color w:val="B1B1B1" w:themeColor="accent4" w:themeTint="9A" w:themeShade="95"/>
      </w:rPr>
    </w:tblStylePr>
    <w:tblStylePr w:type="firstCol">
      <w:rPr>
        <w:b/>
        <w:color w:val="B1B1B1" w:themeColor="accent4" w:themeTint="9A" w:themeShade="95"/>
      </w:rPr>
    </w:tblStylePr>
    <w:tblStylePr w:type="lastCol">
      <w:rPr>
        <w:b/>
        <w:color w:val="B1B1B1" w:themeColor="accent4" w:themeTint="9A" w:themeShade="95"/>
      </w:rPr>
    </w:tblStylePr>
    <w:tblStylePr w:type="band1Vert"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B6DF89" w:themeColor="accent1" w:themeTint="80"/>
        <w:right w:val="single" w:sz="4" w:space="0" w:color="B6DF89" w:themeColor="accent1" w:themeTint="80"/>
        <w:insideH w:val="single" w:sz="4" w:space="0" w:color="B6DF89" w:themeColor="accent1" w:themeTint="80"/>
        <w:insideV w:val="single" w:sz="4" w:space="0" w:color="B6DF89" w:themeColor="accent1" w:themeTint="80"/>
      </w:tblBorders>
    </w:tblPr>
    <w:tblStylePr w:type="firstRow">
      <w:rPr>
        <w:rFonts w:ascii="Arial" w:hAnsi="Arial"/>
        <w:b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6DF89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6DF89" w:themeColor="accent1" w:themeTint="80" w:themeShade="95"/>
        <w:sz w:val="22"/>
      </w:rPr>
      <w:tblPr/>
      <w:tcPr>
        <w:tcBorders>
          <w:top w:val="single" w:sz="4" w:space="0" w:color="B6DF89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6DF89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B6DF89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B6DF89" w:themeColor="accent1" w:themeTint="80" w:themeShade="95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2Horz">
      <w:rPr>
        <w:rFonts w:ascii="Arial" w:hAnsi="Arial"/>
        <w:color w:val="B6DF89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right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rFonts w:ascii="Arial" w:hAnsi="Arial"/>
        <w:b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A9A9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A9A9" w:themeColor="accent2" w:themeTint="97" w:themeShade="95"/>
        <w:sz w:val="22"/>
      </w:rPr>
      <w:tblPr/>
      <w:tcPr>
        <w:tcBorders>
          <w:top w:val="single" w:sz="4" w:space="0" w:color="ADA9A9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A9A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ADA9A9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right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rFonts w:ascii="Arial" w:hAnsi="Arial"/>
        <w:b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E3F3F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E3F3F" w:themeColor="accent3" w:themeTint="FE" w:themeShade="95"/>
        <w:sz w:val="22"/>
      </w:rPr>
      <w:tblPr/>
      <w:tcPr>
        <w:tcBorders>
          <w:top w:val="single" w:sz="4" w:space="0" w:color="FE3F3F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E3F3F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FE3F3F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FE3F3F" w:themeColor="accent3" w:themeTint="FE" w:themeShade="95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2Horz">
      <w:rPr>
        <w:rFonts w:ascii="Arial" w:hAnsi="Arial"/>
        <w:color w:val="FE3F3F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right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rFonts w:ascii="Arial" w:hAnsi="Arial"/>
        <w:b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1B1B1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B1B1" w:themeColor="accent4" w:themeTint="9A" w:themeShade="95"/>
        <w:sz w:val="22"/>
      </w:rPr>
      <w:tblPr/>
      <w:tcPr>
        <w:tcBorders>
          <w:top w:val="single" w:sz="4" w:space="0" w:color="B1B1B1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1B1B1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1B1B1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10">
    <w:name w:val="Список-таблица 1 светлая1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EA92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EA92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5707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5707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E3F3F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7F7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10">
    <w:name w:val="Список-таблица 21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DDB7A" w:themeColor="accent1" w:themeTint="90"/>
        <w:bottom w:val="single" w:sz="4" w:space="0" w:color="ADDB7A" w:themeColor="accent1" w:themeTint="90"/>
        <w:insideH w:val="single" w:sz="4" w:space="0" w:color="ADDB7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B7A" w:themeColor="accent1" w:themeTint="90"/>
          <w:left w:val="none" w:sz="4" w:space="0" w:color="000000"/>
          <w:bottom w:val="single" w:sz="4" w:space="0" w:color="ADDB7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B7A" w:themeColor="accent1" w:themeTint="90"/>
          <w:left w:val="none" w:sz="4" w:space="0" w:color="000000"/>
          <w:bottom w:val="single" w:sz="4" w:space="0" w:color="ADDB7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B1ADAD" w:themeColor="accent2" w:themeTint="90"/>
        <w:bottom w:val="single" w:sz="4" w:space="0" w:color="B1ADAD" w:themeColor="accent2" w:themeTint="90"/>
        <w:insideH w:val="single" w:sz="4" w:space="0" w:color="B1ADAD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ADAD" w:themeColor="accent2" w:themeTint="90"/>
          <w:left w:val="none" w:sz="4" w:space="0" w:color="000000"/>
          <w:bottom w:val="single" w:sz="4" w:space="0" w:color="B1ADAD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ADAD" w:themeColor="accent2" w:themeTint="90"/>
          <w:left w:val="none" w:sz="4" w:space="0" w:color="000000"/>
          <w:bottom w:val="single" w:sz="4" w:space="0" w:color="B1ADAD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FE9292" w:themeColor="accent3" w:themeTint="90"/>
        <w:bottom w:val="single" w:sz="4" w:space="0" w:color="FE9292" w:themeColor="accent3" w:themeTint="90"/>
        <w:insideH w:val="single" w:sz="4" w:space="0" w:color="FE9292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9292" w:themeColor="accent3" w:themeTint="90"/>
          <w:left w:val="none" w:sz="4" w:space="0" w:color="000000"/>
          <w:bottom w:val="single" w:sz="4" w:space="0" w:color="FE9292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9292" w:themeColor="accent3" w:themeTint="90"/>
          <w:left w:val="none" w:sz="4" w:space="0" w:color="000000"/>
          <w:bottom w:val="single" w:sz="4" w:space="0" w:color="FE9292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B6B6B6" w:themeColor="accent4" w:themeTint="90"/>
        <w:bottom w:val="single" w:sz="4" w:space="0" w:color="B6B6B6" w:themeColor="accent4" w:themeTint="90"/>
        <w:insideH w:val="single" w:sz="4" w:space="0" w:color="B6B6B6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4" w:themeTint="90"/>
          <w:left w:val="none" w:sz="4" w:space="0" w:color="000000"/>
          <w:bottom w:val="single" w:sz="4" w:space="0" w:color="B6B6B6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4" w:themeTint="90"/>
          <w:left w:val="none" w:sz="4" w:space="0" w:color="000000"/>
          <w:bottom w:val="single" w:sz="4" w:space="0" w:color="B6B6B6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10">
    <w:name w:val="Список-таблица 31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6EA92D" w:themeColor="accent1"/>
        <w:left w:val="single" w:sz="4" w:space="0" w:color="6EA92D" w:themeColor="accent1"/>
        <w:bottom w:val="single" w:sz="4" w:space="0" w:color="6EA92D" w:themeColor="accent1"/>
        <w:right w:val="single" w:sz="4" w:space="0" w:color="6EA92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6EA92D" w:themeColor="accent1"/>
          <w:right w:val="single" w:sz="4" w:space="0" w:color="6EA92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6EA92D" w:themeColor="accent1"/>
          <w:bottom w:val="single" w:sz="4" w:space="0" w:color="6EA92D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left w:val="single" w:sz="4" w:space="0" w:color="ADA9A9" w:themeColor="accent2" w:themeTint="97"/>
        <w:bottom w:val="single" w:sz="4" w:space="0" w:color="ADA9A9" w:themeColor="accent2" w:themeTint="97"/>
        <w:right w:val="single" w:sz="4" w:space="0" w:color="ADA9A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DA9A9" w:themeColor="accent2" w:themeTint="97"/>
          <w:right w:val="single" w:sz="4" w:space="0" w:color="ADA9A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A9A9" w:themeColor="accent2" w:themeTint="97"/>
          <w:bottom w:val="single" w:sz="4" w:space="0" w:color="ADA9A9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FE8C8C" w:themeColor="accent3" w:themeTint="98"/>
        <w:left w:val="single" w:sz="4" w:space="0" w:color="FE8C8C" w:themeColor="accent3" w:themeTint="98"/>
        <w:bottom w:val="single" w:sz="4" w:space="0" w:color="FE8C8C" w:themeColor="accent3" w:themeTint="98"/>
        <w:right w:val="single" w:sz="4" w:space="0" w:color="FE8C8C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8C8C" w:themeColor="accent3" w:themeTint="98" w:fill="FE8C8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E8C8C" w:themeColor="accent3" w:themeTint="98"/>
          <w:right w:val="single" w:sz="4" w:space="0" w:color="FE8C8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8C8C" w:themeColor="accent3" w:themeTint="98"/>
          <w:bottom w:val="single" w:sz="4" w:space="0" w:color="FE8C8C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left w:val="single" w:sz="4" w:space="0" w:color="B1B1B1" w:themeColor="accent4" w:themeTint="9A"/>
        <w:bottom w:val="single" w:sz="4" w:space="0" w:color="B1B1B1" w:themeColor="accent4" w:themeTint="9A"/>
        <w:right w:val="single" w:sz="4" w:space="0" w:color="B1B1B1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1B1B1" w:themeColor="accent4" w:themeTint="9A"/>
          <w:right w:val="single" w:sz="4" w:space="0" w:color="B1B1B1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1B1B1" w:themeColor="accent4" w:themeTint="9A"/>
          <w:bottom w:val="single" w:sz="4" w:space="0" w:color="B1B1B1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10">
    <w:name w:val="Список-таблица 41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DDB7A" w:themeColor="accent1" w:themeTint="90"/>
        <w:left w:val="single" w:sz="4" w:space="0" w:color="ADDB7A" w:themeColor="accent1" w:themeTint="90"/>
        <w:bottom w:val="single" w:sz="4" w:space="0" w:color="ADDB7A" w:themeColor="accent1" w:themeTint="90"/>
        <w:right w:val="single" w:sz="4" w:space="0" w:color="ADDB7A" w:themeColor="accent1" w:themeTint="90"/>
        <w:insideH w:val="single" w:sz="4" w:space="0" w:color="ADDB7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B1ADAD" w:themeColor="accent2" w:themeTint="90"/>
        <w:left w:val="single" w:sz="4" w:space="0" w:color="B1ADAD" w:themeColor="accent2" w:themeTint="90"/>
        <w:bottom w:val="single" w:sz="4" w:space="0" w:color="B1ADAD" w:themeColor="accent2" w:themeTint="90"/>
        <w:right w:val="single" w:sz="4" w:space="0" w:color="B1ADAD" w:themeColor="accent2" w:themeTint="90"/>
        <w:insideH w:val="single" w:sz="4" w:space="0" w:color="B1ADA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FE9292" w:themeColor="accent3" w:themeTint="90"/>
        <w:left w:val="single" w:sz="4" w:space="0" w:color="FE9292" w:themeColor="accent3" w:themeTint="90"/>
        <w:bottom w:val="single" w:sz="4" w:space="0" w:color="FE9292" w:themeColor="accent3" w:themeTint="90"/>
        <w:right w:val="single" w:sz="4" w:space="0" w:color="FE9292" w:themeColor="accent3" w:themeTint="90"/>
        <w:insideH w:val="single" w:sz="4" w:space="0" w:color="FE9292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B6B6B6" w:themeColor="accent4" w:themeTint="90"/>
        <w:left w:val="single" w:sz="4" w:space="0" w:color="B6B6B6" w:themeColor="accent4" w:themeTint="90"/>
        <w:bottom w:val="single" w:sz="4" w:space="0" w:color="B6B6B6" w:themeColor="accent4" w:themeTint="90"/>
        <w:right w:val="single" w:sz="4" w:space="0" w:color="B6B6B6" w:themeColor="accent4" w:themeTint="90"/>
        <w:insideH w:val="single" w:sz="4" w:space="0" w:color="B6B6B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10">
    <w:name w:val="Список-таблица 5 темная1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6EA92D" w:themeColor="accent1"/>
        <w:left w:val="single" w:sz="32" w:space="0" w:color="6EA92D" w:themeColor="accent1"/>
        <w:bottom w:val="single" w:sz="32" w:space="0" w:color="6EA92D" w:themeColor="accent1"/>
        <w:right w:val="single" w:sz="32" w:space="0" w:color="6EA92D" w:themeColor="accent1"/>
      </w:tblBorders>
      <w:shd w:val="clear" w:color="6EA92D" w:themeColor="accent1" w:fill="6EA92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6EA92D" w:themeColor="accent1"/>
          <w:bottom w:val="single" w:sz="12" w:space="0" w:color="FFFFFF" w:themeColor="light1"/>
        </w:tcBorders>
        <w:shd w:val="clear" w:color="6EA92D" w:themeColor="accent1" w:fill="6EA92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6EA92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EA92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6EA92D" w:themeColor="accent1" w:fill="6EA92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EA92D" w:themeColor="accent1" w:fill="6EA92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EA92D" w:themeColor="accent1" w:fill="6EA92D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ADA9A9" w:themeColor="accent2" w:themeTint="97"/>
        <w:left w:val="single" w:sz="32" w:space="0" w:color="ADA9A9" w:themeColor="accent2" w:themeTint="97"/>
        <w:bottom w:val="single" w:sz="32" w:space="0" w:color="ADA9A9" w:themeColor="accent2" w:themeTint="97"/>
        <w:right w:val="single" w:sz="32" w:space="0" w:color="ADA9A9" w:themeColor="accent2" w:themeTint="97"/>
      </w:tblBorders>
      <w:shd w:val="clear" w:color="ADA9A9" w:themeColor="accent2" w:themeTint="97" w:fill="ADA9A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DA9A9" w:themeColor="accent2" w:themeTint="97"/>
          <w:bottom w:val="single" w:sz="12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DA9A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DA9A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FE8C8C" w:themeColor="accent3" w:themeTint="98"/>
        <w:left w:val="single" w:sz="32" w:space="0" w:color="FE8C8C" w:themeColor="accent3" w:themeTint="98"/>
        <w:bottom w:val="single" w:sz="32" w:space="0" w:color="FE8C8C" w:themeColor="accent3" w:themeTint="98"/>
        <w:right w:val="single" w:sz="32" w:space="0" w:color="FE8C8C" w:themeColor="accent3" w:themeTint="98"/>
      </w:tblBorders>
      <w:shd w:val="clear" w:color="FE8C8C" w:themeColor="accent3" w:themeTint="98" w:fill="FE8C8C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E8C8C" w:themeColor="accent3" w:themeTint="98"/>
          <w:bottom w:val="single" w:sz="12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E8C8C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E8C8C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B1B1B1" w:themeColor="accent4" w:themeTint="9A"/>
        <w:left w:val="single" w:sz="32" w:space="0" w:color="B1B1B1" w:themeColor="accent4" w:themeTint="9A"/>
        <w:bottom w:val="single" w:sz="32" w:space="0" w:color="B1B1B1" w:themeColor="accent4" w:themeTint="9A"/>
        <w:right w:val="single" w:sz="32" w:space="0" w:color="B1B1B1" w:themeColor="accent4" w:themeTint="9A"/>
      </w:tblBorders>
      <w:shd w:val="clear" w:color="B1B1B1" w:themeColor="accent4" w:themeTint="9A" w:fill="B1B1B1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1B1B1" w:themeColor="accent4" w:themeTint="9A"/>
          <w:bottom w:val="single" w:sz="12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1B1B1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1B1B1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10">
    <w:name w:val="Список-таблица 6 цветная1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6EA92D" w:themeColor="accent1"/>
        <w:bottom w:val="single" w:sz="4" w:space="0" w:color="6EA92D" w:themeColor="accent1"/>
      </w:tblBorders>
    </w:tblPr>
    <w:tblStylePr w:type="firstRow">
      <w:rPr>
        <w:b/>
        <w:color w:val="40621A" w:themeColor="accent1" w:themeShade="95"/>
      </w:rPr>
      <w:tblPr/>
      <w:tcPr>
        <w:tcBorders>
          <w:bottom w:val="single" w:sz="4" w:space="0" w:color="6EA92D" w:themeColor="accent1"/>
        </w:tcBorders>
      </w:tcPr>
    </w:tblStylePr>
    <w:tblStylePr w:type="lastRow">
      <w:rPr>
        <w:b/>
        <w:color w:val="40621A" w:themeColor="accent1" w:themeShade="95"/>
      </w:rPr>
      <w:tblPr/>
      <w:tcPr>
        <w:tcBorders>
          <w:top w:val="single" w:sz="4" w:space="0" w:color="6EA92D" w:themeColor="accent1"/>
        </w:tcBorders>
      </w:tcPr>
    </w:tblStylePr>
    <w:tblStylePr w:type="firstCol">
      <w:rPr>
        <w:b/>
        <w:color w:val="40621A" w:themeColor="accent1" w:themeShade="95"/>
      </w:rPr>
    </w:tblStylePr>
    <w:tblStylePr w:type="lastCol">
      <w:rPr>
        <w:b/>
        <w:color w:val="40621A" w:themeColor="accent1" w:themeShade="95"/>
      </w:r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621A" w:themeColor="accent1" w:themeShade="95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2Horz">
      <w:rPr>
        <w:rFonts w:ascii="Arial" w:hAnsi="Arial"/>
        <w:color w:val="40621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bottom w:val="single" w:sz="4" w:space="0" w:color="ADA9A9" w:themeColor="accent2" w:themeTint="97"/>
      </w:tblBorders>
    </w:tblPr>
    <w:tblStylePr w:type="firstRow">
      <w:rPr>
        <w:b/>
        <w:color w:val="ADA9A9" w:themeColor="accent2" w:themeTint="97" w:themeShade="95"/>
      </w:rPr>
      <w:tblPr/>
      <w:tcPr>
        <w:tcBorders>
          <w:bottom w:val="single" w:sz="4" w:space="0" w:color="ADA9A9" w:themeColor="accent2" w:themeTint="97"/>
        </w:tcBorders>
      </w:tcPr>
    </w:tblStylePr>
    <w:tblStylePr w:type="lastRow">
      <w:rPr>
        <w:b/>
        <w:color w:val="ADA9A9" w:themeColor="accent2" w:themeTint="97" w:themeShade="95"/>
      </w:rPr>
      <w:tblPr/>
      <w:tcPr>
        <w:tcBorders>
          <w:top w:val="single" w:sz="4" w:space="0" w:color="ADA9A9" w:themeColor="accent2" w:themeTint="97"/>
        </w:tcBorders>
      </w:tcPr>
    </w:tblStylePr>
    <w:tblStylePr w:type="firstCol">
      <w:rPr>
        <w:b/>
        <w:color w:val="ADA9A9" w:themeColor="accent2" w:themeTint="97" w:themeShade="95"/>
      </w:rPr>
    </w:tblStylePr>
    <w:tblStylePr w:type="lastCol">
      <w:rPr>
        <w:b/>
        <w:color w:val="ADA9A9" w:themeColor="accent2" w:themeTint="97" w:themeShade="95"/>
      </w:r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FE8C8C" w:themeColor="accent3" w:themeTint="98"/>
        <w:bottom w:val="single" w:sz="4" w:space="0" w:color="FE8C8C" w:themeColor="accent3" w:themeTint="98"/>
      </w:tblBorders>
    </w:tblPr>
    <w:tblStylePr w:type="firstRow">
      <w:rPr>
        <w:b/>
        <w:color w:val="FE8C8C" w:themeColor="accent3" w:themeTint="98" w:themeShade="95"/>
      </w:rPr>
      <w:tblPr/>
      <w:tcPr>
        <w:tcBorders>
          <w:bottom w:val="single" w:sz="4" w:space="0" w:color="FE8C8C" w:themeColor="accent3" w:themeTint="98"/>
        </w:tcBorders>
      </w:tcPr>
    </w:tblStylePr>
    <w:tblStylePr w:type="lastRow">
      <w:rPr>
        <w:b/>
        <w:color w:val="FE8C8C" w:themeColor="accent3" w:themeTint="98" w:themeShade="95"/>
      </w:rPr>
      <w:tblPr/>
      <w:tcPr>
        <w:tcBorders>
          <w:top w:val="single" w:sz="4" w:space="0" w:color="FE8C8C" w:themeColor="accent3" w:themeTint="98"/>
        </w:tcBorders>
      </w:tcPr>
    </w:tblStylePr>
    <w:tblStylePr w:type="firstCol">
      <w:rPr>
        <w:b/>
        <w:color w:val="FE8C8C" w:themeColor="accent3" w:themeTint="98" w:themeShade="95"/>
      </w:rPr>
    </w:tblStylePr>
    <w:tblStylePr w:type="lastCol">
      <w:rPr>
        <w:b/>
        <w:color w:val="FE8C8C" w:themeColor="accent3" w:themeTint="98" w:themeShade="95"/>
      </w:r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FE8C8C" w:themeColor="accent3" w:themeTint="98" w:themeShade="95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2Horz">
      <w:rPr>
        <w:rFonts w:ascii="Arial" w:hAnsi="Arial"/>
        <w:color w:val="FE8C8C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bottom w:val="single" w:sz="4" w:space="0" w:color="B1B1B1" w:themeColor="accent4" w:themeTint="9A"/>
      </w:tblBorders>
    </w:tblPr>
    <w:tblStylePr w:type="firstRow">
      <w:rPr>
        <w:b/>
        <w:color w:val="B1B1B1" w:themeColor="accent4" w:themeTint="9A" w:themeShade="95"/>
      </w:rPr>
      <w:tblPr/>
      <w:tcPr>
        <w:tcBorders>
          <w:bottom w:val="single" w:sz="4" w:space="0" w:color="B1B1B1" w:themeColor="accent4" w:themeTint="9A"/>
        </w:tcBorders>
      </w:tcPr>
    </w:tblStylePr>
    <w:tblStylePr w:type="lastRow">
      <w:rPr>
        <w:b/>
        <w:color w:val="B1B1B1" w:themeColor="accent4" w:themeTint="9A" w:themeShade="95"/>
      </w:rPr>
      <w:tblPr/>
      <w:tcPr>
        <w:tcBorders>
          <w:top w:val="single" w:sz="4" w:space="0" w:color="B1B1B1" w:themeColor="accent4" w:themeTint="9A"/>
        </w:tcBorders>
      </w:tcPr>
    </w:tblStylePr>
    <w:tblStylePr w:type="firstCol">
      <w:rPr>
        <w:b/>
        <w:color w:val="B1B1B1" w:themeColor="accent4" w:themeTint="9A" w:themeShade="95"/>
      </w:rPr>
    </w:tblStylePr>
    <w:tblStylePr w:type="lastCol">
      <w:rPr>
        <w:b/>
        <w:color w:val="B1B1B1" w:themeColor="accent4" w:themeTint="9A" w:themeShade="95"/>
      </w:r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6EA92D" w:themeColor="accent1"/>
      </w:tblBorders>
    </w:tblPr>
    <w:tblStylePr w:type="firstRow"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EA92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0621A" w:themeColor="accent1" w:themeShade="95"/>
        <w:sz w:val="22"/>
      </w:rPr>
      <w:tblPr/>
      <w:tcPr>
        <w:tcBorders>
          <w:top w:val="single" w:sz="4" w:space="0" w:color="6EA92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EA92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single" w:sz="4" w:space="0" w:color="6EA92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621A" w:themeColor="accent1" w:themeShade="95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2Horz">
      <w:rPr>
        <w:rFonts w:ascii="Arial" w:hAnsi="Arial"/>
        <w:color w:val="40621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ADA9A9" w:themeColor="accent2" w:themeTint="97"/>
      </w:tblBorders>
    </w:tblPr>
    <w:tblStylePr w:type="firstRow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A9A9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single" w:sz="4" w:space="0" w:color="ADA9A9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A9A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ADA9A9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FE8C8C" w:themeColor="accent3" w:themeTint="98"/>
      </w:tblBorders>
    </w:tblPr>
    <w:tblStylePr w:type="firstRow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E8C8C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single" w:sz="4" w:space="0" w:color="FE8C8C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E8C8C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FE8C8C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FE8C8C" w:themeColor="accent3" w:themeTint="98" w:themeShade="95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2Horz">
      <w:rPr>
        <w:rFonts w:ascii="Arial" w:hAnsi="Arial"/>
        <w:color w:val="FE8C8C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B1B1B1" w:themeColor="accent4" w:themeTint="9A"/>
      </w:tblBorders>
    </w:tblPr>
    <w:tblStylePr w:type="firstRow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1B1B1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single" w:sz="4" w:space="0" w:color="B1B1B1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1B1B1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1B1B1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0621A" w:themeColor="accent1" w:themeShade="95"/>
        <w:left w:val="single" w:sz="4" w:space="0" w:color="40621A" w:themeColor="accent1" w:themeShade="95"/>
        <w:bottom w:val="single" w:sz="4" w:space="0" w:color="40621A" w:themeColor="accent1" w:themeShade="95"/>
        <w:right w:val="single" w:sz="4" w:space="0" w:color="40621A" w:themeColor="accent1" w:themeShade="95"/>
        <w:insideH w:val="single" w:sz="4" w:space="0" w:color="40621A" w:themeColor="accent1" w:themeShade="95"/>
        <w:insideV w:val="single" w:sz="4" w:space="0" w:color="40621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44141" w:themeColor="accent2" w:themeShade="95"/>
        <w:left w:val="single" w:sz="4" w:space="0" w:color="444141" w:themeColor="accent2" w:themeShade="95"/>
        <w:bottom w:val="single" w:sz="4" w:space="0" w:color="444141" w:themeColor="accent2" w:themeShade="95"/>
        <w:right w:val="single" w:sz="4" w:space="0" w:color="444141" w:themeColor="accent2" w:themeShade="95"/>
        <w:insideH w:val="single" w:sz="4" w:space="0" w:color="444141" w:themeColor="accent2" w:themeShade="95"/>
        <w:insideV w:val="single" w:sz="4" w:space="0" w:color="444141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B80101" w:themeColor="accent3" w:themeShade="95"/>
        <w:left w:val="single" w:sz="4" w:space="0" w:color="B80101" w:themeColor="accent3" w:themeShade="95"/>
        <w:bottom w:val="single" w:sz="4" w:space="0" w:color="B80101" w:themeColor="accent3" w:themeShade="95"/>
        <w:right w:val="single" w:sz="4" w:space="0" w:color="B80101" w:themeColor="accent3" w:themeShade="95"/>
        <w:insideH w:val="single" w:sz="4" w:space="0" w:color="B80101" w:themeColor="accent3" w:themeShade="95"/>
        <w:insideV w:val="single" w:sz="4" w:space="0" w:color="B80101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A4A4A" w:themeColor="accent4" w:themeShade="95"/>
        <w:left w:val="single" w:sz="4" w:space="0" w:color="4A4A4A" w:themeColor="accent4" w:themeShade="95"/>
        <w:bottom w:val="single" w:sz="4" w:space="0" w:color="4A4A4A" w:themeColor="accent4" w:themeShade="95"/>
        <w:right w:val="single" w:sz="4" w:space="0" w:color="4A4A4A" w:themeColor="accent4" w:themeShade="95"/>
        <w:insideH w:val="single" w:sz="4" w:space="0" w:color="4A4A4A" w:themeColor="accent4" w:themeShade="95"/>
        <w:insideV w:val="single" w:sz="4" w:space="0" w:color="4A4A4A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C4E5A0" w:themeColor="accent1" w:themeTint="67"/>
        <w:left w:val="single" w:sz="4" w:space="0" w:color="C4E5A0" w:themeColor="accent1" w:themeTint="67"/>
        <w:bottom w:val="single" w:sz="4" w:space="0" w:color="C4E5A0" w:themeColor="accent1" w:themeTint="67"/>
        <w:right w:val="single" w:sz="4" w:space="0" w:color="C4E5A0" w:themeColor="accent1" w:themeTint="67"/>
        <w:insideH w:val="single" w:sz="4" w:space="0" w:color="C4E5A0" w:themeColor="accent1" w:themeTint="67"/>
        <w:insideV w:val="single" w:sz="4" w:space="0" w:color="C4E5A0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6EA92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6EA92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6EA92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E5A0" w:themeColor="accent1" w:themeTint="67"/>
          <w:left w:val="single" w:sz="4" w:space="0" w:color="C4E5A0" w:themeColor="accent1" w:themeTint="67"/>
          <w:bottom w:val="single" w:sz="4" w:space="0" w:color="C4E5A0" w:themeColor="accent1" w:themeTint="67"/>
          <w:right w:val="single" w:sz="4" w:space="0" w:color="C4E5A0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C7C4C4" w:themeColor="accent2" w:themeTint="67"/>
        <w:left w:val="single" w:sz="4" w:space="0" w:color="C7C4C4" w:themeColor="accent2" w:themeTint="67"/>
        <w:bottom w:val="single" w:sz="4" w:space="0" w:color="C7C4C4" w:themeColor="accent2" w:themeTint="67"/>
        <w:right w:val="single" w:sz="4" w:space="0" w:color="C7C4C4" w:themeColor="accent2" w:themeTint="67"/>
        <w:insideH w:val="single" w:sz="4" w:space="0" w:color="C7C4C4" w:themeColor="accent2" w:themeTint="67"/>
        <w:insideV w:val="single" w:sz="4" w:space="0" w:color="C7C4C4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DA9A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DA9A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DA9A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C4C4" w:themeColor="accent2" w:themeTint="67"/>
          <w:left w:val="single" w:sz="4" w:space="0" w:color="C7C4C4" w:themeColor="accent2" w:themeTint="67"/>
          <w:bottom w:val="single" w:sz="4" w:space="0" w:color="C7C4C4" w:themeColor="accent2" w:themeTint="67"/>
          <w:right w:val="single" w:sz="4" w:space="0" w:color="C7C4C4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FEB1B1" w:themeColor="accent3" w:themeTint="67"/>
        <w:left w:val="single" w:sz="4" w:space="0" w:color="FEB1B1" w:themeColor="accent3" w:themeTint="67"/>
        <w:bottom w:val="single" w:sz="4" w:space="0" w:color="FEB1B1" w:themeColor="accent3" w:themeTint="67"/>
        <w:right w:val="single" w:sz="4" w:space="0" w:color="FEB1B1" w:themeColor="accent3" w:themeTint="67"/>
        <w:insideH w:val="single" w:sz="4" w:space="0" w:color="FEB1B1" w:themeColor="accent3" w:themeTint="67"/>
        <w:insideV w:val="single" w:sz="4" w:space="0" w:color="FEB1B1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E8C8C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E8C8C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E8C8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B1B1" w:themeColor="accent3" w:themeTint="67"/>
          <w:left w:val="single" w:sz="4" w:space="0" w:color="FEB1B1" w:themeColor="accent3" w:themeTint="67"/>
          <w:bottom w:val="single" w:sz="4" w:space="0" w:color="FEB1B1" w:themeColor="accent3" w:themeTint="67"/>
          <w:right w:val="single" w:sz="4" w:space="0" w:color="FEB1B1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1B1B1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1B1B1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1B1B1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1">
    <w:name w:val="List Bullet"/>
    <w:basedOn w:val="af5"/>
    <w:qFormat/>
    <w:pPr>
      <w:numPr>
        <w:numId w:val="4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2">
    <w:name w:val="List Number"/>
    <w:basedOn w:val="af5"/>
    <w:uiPriority w:val="99"/>
    <w:unhideWhenUsed/>
    <w:pPr>
      <w:numPr>
        <w:numId w:val="1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0">
    <w:name w:val="Список эталон"/>
    <w:uiPriority w:val="99"/>
    <w:pPr>
      <w:numPr>
        <w:numId w:val="2"/>
      </w:numPr>
    </w:pPr>
  </w:style>
  <w:style w:type="paragraph" w:customStyle="1" w:styleId="a">
    <w:name w:val="Стиль списка для веб"/>
    <w:basedOn w:val="a3"/>
    <w:pPr>
      <w:numPr>
        <w:numId w:val="3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paragraph" w:customStyle="1" w:styleId="docdata">
    <w:name w:val="docdata"/>
    <w:basedOn w:val="a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1">
    <w:name w:val="Normal (Web)"/>
    <w:basedOn w:val="a3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FORMATTEXT">
    <w:name w:val=".FORMATTEXT"/>
    <w:uiPriority w:val="99"/>
    <w:pPr>
      <w:widowControl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PT Astra Serif"/>
                <a:ea typeface="PT Astra Serif"/>
              </a:rPr>
              <a:t> </a:t>
            </a:r>
            <a:r>
              <a:rPr lang="ru-RU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Динамика изменений показателей Программ  комплексного развития социальной инфраструктуры по результатам мониторинга за период 2</a:t>
            </a:r>
            <a:r>
              <a:rPr lang="en-US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 </a:t>
            </a:r>
            <a:r>
              <a:rPr lang="ru-RU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полугодие 2024 года - 1</a:t>
            </a:r>
            <a:r>
              <a:rPr lang="en-US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 </a:t>
            </a:r>
            <a:r>
              <a:rPr lang="ru-RU" sz="1300">
                <a:solidFill>
                  <a:sysClr val="windowText" lastClr="000000"/>
                </a:solidFill>
                <a:latin typeface="PT Astra Serif"/>
                <a:ea typeface="PT Astra Serif"/>
              </a:rPr>
              <a:t>полугодие 2026 года</a:t>
            </a:r>
            <a:endParaRPr lang="ru-RU"/>
          </a:p>
        </c:rich>
      </c:tx>
      <c:layout>
        <c:manualLayout>
          <c:xMode val="edge"/>
          <c:yMode val="edge"/>
          <c:x val="0.103588"/>
          <c:y val="2.4268000000000001E-2"/>
        </c:manualLayout>
      </c:layout>
      <c:overlay val="0"/>
      <c:spPr>
        <a:prstGeom prst="rect">
          <a:avLst/>
        </a:prstGeom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083000000000005E-2"/>
          <c:y val="0.21617700000000001"/>
          <c:w val="0.89487499999999998"/>
          <c:h val="0.401330000000000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муниципальных образований, в которых  утверждены Программы комплексного развития социальной инфраструктуры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  <c:pt idx="3">
                  <c:v>I полугодие 2026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73.099999999999994</c:v>
                </c:pt>
                <c:pt idx="1">
                  <c:v>77.3</c:v>
                </c:pt>
                <c:pt idx="2">
                  <c:v>82.4</c:v>
                </c:pt>
                <c:pt idx="3">
                  <c:v>88.2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FA-4F71-A193-FFE1A3D10C1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муниципальных образований, в которых  утвержденные Программы комплексного развития социальной инфраструктуры соответствуют Постановлению Правительства РФ №1050 от  01.10.2015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  <c:pt idx="3">
                  <c:v>I полугодие 2026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47.8</c:v>
                </c:pt>
                <c:pt idx="1">
                  <c:v>51.4</c:v>
                </c:pt>
                <c:pt idx="2">
                  <c:v>72.3</c:v>
                </c:pt>
                <c:pt idx="3">
                  <c:v>85.7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FA-4F71-A193-FFE1A3D10C1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муниципальных образований, в которых  не утверждены Программы комплексного развития социальной инфраструктуры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  <c:pt idx="3">
                  <c:v>I полугодие 2026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26.9</c:v>
                </c:pt>
                <c:pt idx="1">
                  <c:v>22.7</c:v>
                </c:pt>
                <c:pt idx="2">
                  <c:v>17.600000000000001</c:v>
                </c:pt>
                <c:pt idx="3">
                  <c:v>11.8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FA-4F71-A193-FFE1A3D10C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6"/>
        <c:overlap val="-20"/>
        <c:axId val="1583926992"/>
        <c:axId val="1583929488"/>
      </c:barChart>
      <c:catAx>
        <c:axId val="1583926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мониторинга</a:t>
                </a:r>
                <a:endParaRPr lang="ru-RU"/>
              </a:p>
            </c:rich>
          </c:tx>
          <c:layout/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583929488"/>
        <c:crosses val="autoZero"/>
        <c:auto val="1"/>
        <c:lblAlgn val="ctr"/>
        <c:lblOffset val="100"/>
        <c:noMultiLvlLbl val="0"/>
      </c:catAx>
      <c:valAx>
        <c:axId val="1583929488"/>
        <c:scaling>
          <c:orientation val="minMax"/>
        </c:scaling>
        <c:delete val="0"/>
        <c:axPos val="l"/>
        <c:majorGridlines>
          <c:spPr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Проценты (%)</a:t>
                </a:r>
                <a:endParaRPr lang="ru-RU"/>
              </a:p>
            </c:rich>
          </c:tx>
          <c:layout/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583926992"/>
        <c:crosses val="autoZero"/>
        <c:crossBetween val="between"/>
      </c:valAx>
      <c:spPr>
        <a:prstGeom prst="rect">
          <a:avLst/>
        </a:prstGeom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2.7074999999999998E-2"/>
          <c:y val="0.77290199999999998"/>
          <c:w val="0.96216100000000004"/>
          <c:h val="0.20749000000000001"/>
        </c:manualLayout>
      </c:layout>
      <c:overlay val="0"/>
      <c:spPr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/>
              <a:t> </a:t>
            </a:r>
            <a:endParaRPr lang="ru-RU" sz="1300" b="1" i="0">
              <a:solidFill>
                <a:schemeClr val="tx1"/>
              </a:solidFill>
              <a:latin typeface="PT Astra Serif"/>
              <a:ea typeface="PT Astra Serif"/>
            </a:endParaRPr>
          </a:p>
        </c:rich>
      </c:tx>
      <c:layout>
        <c:manualLayout>
          <c:xMode val="edge"/>
          <c:yMode val="edge"/>
          <c:x val="0.14177899999999999"/>
          <c:y val="1.2633999999999999E-2"/>
        </c:manualLayout>
      </c:layout>
      <c:overlay val="0"/>
      <c:spPr>
        <a:prstGeom prst="rect">
          <a:avLst/>
        </a:prstGeom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муниципальных образований, в которых  Программы комплексного развития социальной инфраструктуры опубликованы на официальных сайтах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  <c:pt idx="3">
                  <c:v>I полугодие 2026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72.3</c:v>
                </c:pt>
                <c:pt idx="1">
                  <c:v>77.3</c:v>
                </c:pt>
                <c:pt idx="2">
                  <c:v>80.599999999999994</c:v>
                </c:pt>
                <c:pt idx="3">
                  <c:v>87.4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28-4373-844E-8286F968CB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муниципальных образований, в которых  Программы комплексного развития социальной инфраструктуры опубликованы во ФГИС ТП</c:v>
                </c:pt>
              </c:strCache>
            </c:strRef>
          </c:tx>
          <c:spPr>
            <a:prstGeom prst="rect">
              <a:avLst/>
            </a:prstGeom>
            <a:gradFill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II полугодие 2024 г.</c:v>
                </c:pt>
                <c:pt idx="1">
                  <c:v>I полугодие 2025 г.</c:v>
                </c:pt>
                <c:pt idx="2">
                  <c:v>II полугодие 2025 г.</c:v>
                </c:pt>
                <c:pt idx="3">
                  <c:v>I полугодие 2026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51.3</c:v>
                </c:pt>
                <c:pt idx="1">
                  <c:v>59.7</c:v>
                </c:pt>
                <c:pt idx="2">
                  <c:v>73</c:v>
                </c:pt>
                <c:pt idx="3">
                  <c:v>83.2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28-4373-844E-8286F968CB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7"/>
        <c:overlap val="-48"/>
        <c:axId val="1583926992"/>
        <c:axId val="1583929488"/>
      </c:barChart>
      <c:catAx>
        <c:axId val="1583926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Период мониторинга</a:t>
                </a:r>
                <a:endParaRPr lang="ru-RU"/>
              </a:p>
            </c:rich>
          </c:tx>
          <c:layout/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583929488"/>
        <c:crosses val="autoZero"/>
        <c:auto val="1"/>
        <c:lblAlgn val="ctr"/>
        <c:lblOffset val="100"/>
        <c:noMultiLvlLbl val="0"/>
      </c:catAx>
      <c:valAx>
        <c:axId val="1583929488"/>
        <c:scaling>
          <c:orientation val="minMax"/>
        </c:scaling>
        <c:delete val="0"/>
        <c:axPos val="l"/>
        <c:majorGridlines>
          <c:spPr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>
                    <a:solidFill>
                      <a:sysClr val="windowText" lastClr="000000"/>
                    </a:solidFill>
                  </a:rPr>
                  <a:t>Проценты (%)</a:t>
                </a:r>
                <a:endParaRPr lang="ru-RU"/>
              </a:p>
            </c:rich>
          </c:tx>
          <c:layout/>
          <c:overlay val="0"/>
          <c:spPr>
            <a:prstGeom prst="rect">
              <a:avLst/>
            </a:prstGeom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583926992"/>
        <c:crosses val="autoZero"/>
        <c:crossBetween val="between"/>
      </c:valAx>
      <c:spPr>
        <a:prstGeom prst="rect">
          <a:avLst/>
        </a:prstGeom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2.7074999999999998E-2"/>
          <c:y val="0.85470199999999996"/>
          <c:w val="0.96216100000000004"/>
          <c:h val="0.14529800000000001"/>
        </c:manualLayout>
      </c:layout>
      <c:overlay val="0"/>
      <c:spPr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 b="1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Рейтинг муниципальных образований Томской области по наличию Программ комплексного развития социальной инфраструктуры и их публикации на официальных сайтах и ФГИС ТП </a:t>
            </a:r>
          </a:p>
          <a:p>
            <a:pPr>
              <a:defRPr/>
            </a:pPr>
            <a:r>
              <a:rPr lang="ru-RU" sz="1300" b="1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на 1 полугодие 2026 года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исполнения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7F4C-4B89-91B5-396B4F5B7ED8}"/>
              </c:ext>
            </c:extLst>
          </c:dPt>
          <c:dPt>
            <c:idx val="13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F4C-4B89-91B5-396B4F5B7ED8}"/>
              </c:ext>
            </c:extLst>
          </c:dPt>
          <c:dPt>
            <c:idx val="14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F4C-4B89-91B5-396B4F5B7ED8}"/>
              </c:ext>
            </c:extLst>
          </c:dPt>
          <c:dPt>
            <c:idx val="15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F4C-4B89-91B5-396B4F5B7ED8}"/>
              </c:ext>
            </c:extLst>
          </c:dPt>
          <c:dPt>
            <c:idx val="16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7F4C-4B89-91B5-396B4F5B7ED8}"/>
              </c:ext>
            </c:extLst>
          </c:dPt>
          <c:dPt>
            <c:idx val="17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F4C-4B89-91B5-396B4F5B7ED8}"/>
              </c:ext>
            </c:extLst>
          </c:dPt>
          <c:dPt>
            <c:idx val="18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7F4C-4B89-91B5-396B4F5B7ED8}"/>
              </c:ext>
            </c:extLst>
          </c:dPt>
          <c:dPt>
            <c:idx val="1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F4C-4B89-91B5-396B4F5B7ED8}"/>
              </c:ext>
            </c:extLst>
          </c:dPt>
          <c:cat>
            <c:strRef>
              <c:f>Лист1!$A$2:$A$21</c:f>
              <c:strCache>
                <c:ptCount val="20"/>
                <c:pt idx="0">
                  <c:v>ЗАТО Северск (100 %)</c:v>
                </c:pt>
                <c:pt idx="1">
                  <c:v>Стрежевой (100 %)</c:v>
                </c:pt>
                <c:pt idx="2">
                  <c:v>Кедровый (100 %)</c:v>
                </c:pt>
                <c:pt idx="3">
                  <c:v>Александровский р-н (100 %)</c:v>
                </c:pt>
                <c:pt idx="4">
                  <c:v>Асиновский р-н (100 %)</c:v>
                </c:pt>
                <c:pt idx="5">
                  <c:v>Верхнекетский р-н (100 %)</c:v>
                </c:pt>
                <c:pt idx="6">
                  <c:v>Каргасокский р-н (100 %)</c:v>
                </c:pt>
                <c:pt idx="7">
                  <c:v>Колпашевский р-н (100 %)</c:v>
                </c:pt>
                <c:pt idx="8">
                  <c:v>Кривошеинский р-н (100 %)</c:v>
                </c:pt>
                <c:pt idx="9">
                  <c:v>Парабельский р-н (100 %)</c:v>
                </c:pt>
                <c:pt idx="10">
                  <c:v>Тегульдетский р-н (100 %)</c:v>
                </c:pt>
                <c:pt idx="11">
                  <c:v>Чаинский р-н (100 %)</c:v>
                </c:pt>
                <c:pt idx="12">
                  <c:v>Бакчарский р-н (95%)</c:v>
                </c:pt>
                <c:pt idx="13">
                  <c:v>Шегарский р-н (78 %)</c:v>
                </c:pt>
                <c:pt idx="14">
                  <c:v>Зырянский р-н (75 %)</c:v>
                </c:pt>
                <c:pt idx="15">
                  <c:v>Кожевниковский р-н (70 %)</c:v>
                </c:pt>
                <c:pt idx="16">
                  <c:v>Первомайский р-н (67 %)</c:v>
                </c:pt>
                <c:pt idx="17">
                  <c:v> Молчановский р-н (60 %)</c:v>
                </c:pt>
                <c:pt idx="18">
                  <c:v>Томский р-н (58 %)</c:v>
                </c:pt>
                <c:pt idx="19">
                  <c:v>Томск (0 %)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95</c:v>
                </c:pt>
                <c:pt idx="13">
                  <c:v>78</c:v>
                </c:pt>
                <c:pt idx="14">
                  <c:v>75</c:v>
                </c:pt>
                <c:pt idx="15">
                  <c:v>70</c:v>
                </c:pt>
                <c:pt idx="16">
                  <c:v>67</c:v>
                </c:pt>
                <c:pt idx="17">
                  <c:v>60</c:v>
                </c:pt>
                <c:pt idx="18">
                  <c:v>58</c:v>
                </c:pt>
                <c:pt idx="1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4C-4B89-91B5-396B4F5B7E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8733040"/>
        <c:axId val="408732624"/>
      </c:barChart>
      <c:valAx>
        <c:axId val="408732624"/>
        <c:scaling>
          <c:orientation val="minMax"/>
          <c:max val="10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8733040"/>
        <c:crosses val="max"/>
        <c:crossBetween val="between"/>
      </c:valAx>
      <c:catAx>
        <c:axId val="408733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8732624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46000">
                <a:schemeClr val="accent1">
                  <a:lumMod val="45000"/>
                  <a:lumOff val="55000"/>
                </a:schemeClr>
              </a:gs>
              <a:gs pos="69000">
                <a:schemeClr val="accent1">
                  <a:lumMod val="50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EA92D"/>
      </a:accent1>
      <a:accent2>
        <a:srgbClr val="757070"/>
      </a:accent2>
      <a:accent3>
        <a:srgbClr val="FE3F3F"/>
      </a:accent3>
      <a:accent4>
        <a:srgbClr val="7F7F7F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F2FD1-AE8D-4B03-98A0-A723A42A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DirectumRX. Бланк исходящего письма</vt:lpstr>
    </vt:vector>
  </TitlesOfParts>
  <Company>NPO Computer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dc:creator>Григорьева Елена Валерьевна</dc:creator>
  <cp:keywords/>
  <dc:description/>
  <cp:lastModifiedBy>Григорьева Елена Валерьевна</cp:lastModifiedBy>
  <cp:revision>37</cp:revision>
  <dcterms:created xsi:type="dcterms:W3CDTF">2025-12-04T07:17:00Z</dcterms:created>
  <dcterms:modified xsi:type="dcterms:W3CDTF">2026-07-01T04:36:00Z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